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E1" w:rsidRDefault="00B82CE1" w:rsidP="00B82CE1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1.discussão emenda nº 02.2022-ednaldo</w:t>
      </w:r>
      <w:bookmarkStart w:id="0" w:name="_GoBack"/>
      <w:bookmarkEnd w:id="0"/>
    </w:p>
    <w:p w:rsidR="006D4C04" w:rsidRDefault="00B82CE1" w:rsidP="00B82CE1">
      <w:pPr>
        <w:jc w:val="both"/>
      </w:pPr>
      <w:r w:rsidRPr="00E54F3E">
        <w:rPr>
          <w:rFonts w:ascii="Arial Unicode MS" w:eastAsia="Arial Unicode MS" w:hAnsi="Arial Unicode MS" w:cs="Arial Unicode MS"/>
          <w:sz w:val="28"/>
          <w:szCs w:val="28"/>
        </w:rPr>
        <w:t>Vereador Ednaldo Fragas da Silva, senhor Presidente, só também para ressaltar lá no artigo sete da referida Emenda Aditiva, trata-se da questão da autorização dos vinte por cento para abertura de créditos suplementares para o exercício financeiro de dois mil e vinte e três, recentemente nós da Câmara Municipal aprovou a alteração para o exercício financeiro em andamento eles esperam que ao longo do ano de dois mil e vinte e três possa ser estabelecido ou cumprido esses vinte por cento e que lá o final do exercício financeiro de dois mil e vinte e três não haja necessidade de uma aprovação ampliando esse índice da abertura de credito suplementar ou adicional especial, era isso obrigado pela oportunidade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</w:p>
    <w:sectPr w:rsidR="006D4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E1"/>
    <w:rsid w:val="006D4C04"/>
    <w:rsid w:val="00B8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2023-01-10T12:25:00Z</dcterms:created>
  <dcterms:modified xsi:type="dcterms:W3CDTF">2023-01-10T12:26:00Z</dcterms:modified>
</cp:coreProperties>
</file>