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E5" w:rsidRPr="00607B0F" w:rsidRDefault="00552AE5" w:rsidP="00552AE5">
      <w:pPr>
        <w:spacing w:before="0"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607B0F">
        <w:rPr>
          <w:rFonts w:cs="Calibri"/>
          <w:b/>
          <w:bCs/>
          <w:sz w:val="24"/>
          <w:szCs w:val="24"/>
          <w:u w:val="single"/>
        </w:rPr>
        <w:t xml:space="preserve">LEI MUNICIPAL N.º </w:t>
      </w:r>
      <w:r>
        <w:rPr>
          <w:rFonts w:cs="Calibri"/>
          <w:b/>
          <w:bCs/>
          <w:sz w:val="24"/>
          <w:szCs w:val="24"/>
          <w:u w:val="single"/>
        </w:rPr>
        <w:t>2.361, DE 17 DE JANEIRO DE 2</w:t>
      </w:r>
      <w:r w:rsidRPr="00607B0F">
        <w:rPr>
          <w:rFonts w:cs="Calibri"/>
          <w:b/>
          <w:bCs/>
          <w:sz w:val="24"/>
          <w:szCs w:val="24"/>
          <w:u w:val="single"/>
        </w:rPr>
        <w:t>022</w:t>
      </w:r>
    </w:p>
    <w:p w:rsidR="00552AE5" w:rsidRPr="00607B0F" w:rsidRDefault="00552AE5" w:rsidP="00552AE5">
      <w:pPr>
        <w:autoSpaceDE w:val="0"/>
        <w:autoSpaceDN w:val="0"/>
        <w:adjustRightInd w:val="0"/>
        <w:spacing w:before="0" w:after="0"/>
        <w:ind w:firstLine="709"/>
        <w:jc w:val="both"/>
        <w:rPr>
          <w:rFonts w:cs="Calibri"/>
          <w:b/>
          <w:bCs/>
          <w:sz w:val="24"/>
          <w:szCs w:val="24"/>
        </w:rPr>
      </w:pPr>
    </w:p>
    <w:p w:rsidR="00552AE5" w:rsidRPr="00607B0F" w:rsidRDefault="00552AE5" w:rsidP="00552AE5">
      <w:pPr>
        <w:ind w:left="1416"/>
        <w:jc w:val="both"/>
        <w:rPr>
          <w:rFonts w:cs="Calibri"/>
          <w:i/>
          <w:spacing w:val="10"/>
          <w:sz w:val="24"/>
          <w:szCs w:val="24"/>
        </w:rPr>
      </w:pPr>
      <w:r w:rsidRPr="00607B0F">
        <w:rPr>
          <w:rFonts w:cs="Calibri"/>
          <w:i/>
          <w:spacing w:val="10"/>
          <w:sz w:val="24"/>
          <w:szCs w:val="24"/>
        </w:rPr>
        <w:t>Altera dispositivos constantes na Lei nº 1189/2006 que Reestrutura o RPPS – Regime próprio de previdência social de Nova Xavantina, MT e dá outras providências.</w:t>
      </w:r>
    </w:p>
    <w:p w:rsidR="00552AE5" w:rsidRPr="00607B0F" w:rsidRDefault="00552AE5" w:rsidP="00552AE5">
      <w:pPr>
        <w:jc w:val="both"/>
        <w:rPr>
          <w:rFonts w:cs="Calibri"/>
          <w:spacing w:val="10"/>
          <w:sz w:val="24"/>
          <w:szCs w:val="24"/>
        </w:rPr>
      </w:pPr>
    </w:p>
    <w:p w:rsidR="00552AE5" w:rsidRPr="00607B0F" w:rsidRDefault="00552AE5" w:rsidP="00552AE5">
      <w:pPr>
        <w:pStyle w:val="Recuodecorpodetexto3"/>
        <w:ind w:firstLine="1135"/>
        <w:jc w:val="both"/>
        <w:rPr>
          <w:rFonts w:cs="Calibri"/>
          <w:sz w:val="24"/>
          <w:szCs w:val="24"/>
        </w:rPr>
      </w:pPr>
      <w:r w:rsidRPr="00607B0F">
        <w:rPr>
          <w:rFonts w:cs="Calibri"/>
          <w:b/>
          <w:bCs/>
          <w:sz w:val="24"/>
          <w:szCs w:val="24"/>
        </w:rPr>
        <w:t>O Prefeito do Município de Nova Xavantina,</w:t>
      </w:r>
      <w:r w:rsidRPr="00607B0F">
        <w:rPr>
          <w:rFonts w:cs="Calibri"/>
          <w:sz w:val="24"/>
          <w:szCs w:val="24"/>
        </w:rPr>
        <w:t xml:space="preserve"> Estado de Mato Grosso, faz saber que a Câmara Municipal aprovou e ele sanciona a seguinte Lei:</w:t>
      </w:r>
    </w:p>
    <w:p w:rsidR="00552AE5" w:rsidRPr="00607B0F" w:rsidRDefault="00552AE5" w:rsidP="00552AE5">
      <w:pPr>
        <w:pStyle w:val="Ttulo1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bookmarkStart w:id="0" w:name="_Toc17606132"/>
      <w:bookmarkStart w:id="1" w:name="_Toc17607055"/>
      <w:bookmarkStart w:id="2" w:name="_Toc73331741"/>
      <w:bookmarkStart w:id="3" w:name="_Toc73332425"/>
      <w:bookmarkStart w:id="4" w:name="_Toc73419490"/>
      <w:bookmarkStart w:id="5" w:name="_Toc73935667"/>
      <w:bookmarkStart w:id="6" w:name="_Toc75688648"/>
      <w:bookmarkStart w:id="7" w:name="_Toc83704976"/>
      <w:bookmarkStart w:id="8" w:name="_Toc121307625"/>
      <w:r w:rsidRPr="00607B0F">
        <w:rPr>
          <w:rFonts w:ascii="Calibri" w:hAnsi="Calibri" w:cs="Calibri"/>
          <w:bCs w:val="0"/>
          <w:sz w:val="24"/>
          <w:szCs w:val="24"/>
        </w:rPr>
        <w:tab/>
      </w:r>
      <w:r w:rsidRPr="00607B0F">
        <w:rPr>
          <w:rFonts w:ascii="Calibri" w:hAnsi="Calibri" w:cs="Calibri"/>
          <w:bCs w:val="0"/>
          <w:sz w:val="24"/>
          <w:szCs w:val="24"/>
        </w:rPr>
        <w:tab/>
      </w:r>
      <w:r w:rsidRPr="00607B0F">
        <w:rPr>
          <w:rFonts w:ascii="Calibri" w:hAnsi="Calibri" w:cs="Calibri"/>
          <w:bCs w:val="0"/>
          <w:sz w:val="24"/>
          <w:szCs w:val="24"/>
          <w:lang w:val="pt-BR"/>
        </w:rPr>
        <w:t>Art. 1º</w:t>
      </w:r>
      <w:r w:rsidRPr="00607B0F">
        <w:rPr>
          <w:rFonts w:ascii="Calibri" w:hAnsi="Calibri" w:cs="Calibri"/>
          <w:b w:val="0"/>
          <w:bCs w:val="0"/>
          <w:sz w:val="24"/>
          <w:szCs w:val="24"/>
          <w:lang w:val="pt-BR"/>
        </w:rPr>
        <w:t xml:space="preserve"> O art. 22 da Lei nº 1189, de 02 de outubro de 2006 passa a vigorar acrescido do seguinte inciso IV: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552AE5" w:rsidRPr="00607B0F" w:rsidRDefault="00552AE5" w:rsidP="00552AE5">
      <w:pPr>
        <w:keepLines/>
        <w:ind w:firstLine="840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ab/>
        <w:t>“.................................................................................................................................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>Art. 22. A organização administrativa do PREVINX compreenderá os seguintes órgãos: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>I - Conselho Curador, com funções de deliberação superior;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>II - Conselho Fiscal, com função de fiscalização orçamentária de verificação de contas e de julgamento de recursos;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>III - Diretor-Executivo, com função executiva de administração superior;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/>
          <w:bCs/>
          <w:sz w:val="24"/>
          <w:szCs w:val="24"/>
        </w:rPr>
      </w:pPr>
      <w:r w:rsidRPr="00607B0F">
        <w:rPr>
          <w:rFonts w:cs="Calibri"/>
          <w:b/>
          <w:bCs/>
          <w:sz w:val="24"/>
          <w:szCs w:val="24"/>
        </w:rPr>
        <w:t>IV – Direção de Gestão Administrativa</w:t>
      </w:r>
      <w:r w:rsidRPr="005A3075">
        <w:rPr>
          <w:rFonts w:cs="Calibri"/>
          <w:bCs/>
          <w:sz w:val="24"/>
          <w:szCs w:val="24"/>
        </w:rPr>
        <w:t>,</w:t>
      </w:r>
      <w:r>
        <w:rPr>
          <w:rFonts w:cs="Calibri"/>
          <w:b/>
          <w:bCs/>
          <w:sz w:val="24"/>
          <w:szCs w:val="24"/>
        </w:rPr>
        <w:t xml:space="preserve"> </w:t>
      </w:r>
      <w:r w:rsidRPr="005A3075">
        <w:rPr>
          <w:rFonts w:cs="Calibri"/>
        </w:rPr>
        <w:t>órgão de direção geral</w:t>
      </w:r>
      <w:r w:rsidRPr="00607B0F">
        <w:rPr>
          <w:rFonts w:cs="Calibri"/>
          <w:b/>
          <w:bCs/>
          <w:sz w:val="24"/>
          <w:szCs w:val="24"/>
        </w:rPr>
        <w:t>.</w:t>
      </w:r>
    </w:p>
    <w:p w:rsidR="00552AE5" w:rsidRPr="00607B0F" w:rsidRDefault="00552AE5" w:rsidP="00552AE5">
      <w:pPr>
        <w:keepLines/>
        <w:ind w:left="578" w:firstLine="840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>.................................................................................................................................”</w:t>
      </w:r>
    </w:p>
    <w:p w:rsidR="00552AE5" w:rsidRPr="00607B0F" w:rsidRDefault="00552AE5" w:rsidP="00552AE5">
      <w:pPr>
        <w:keepLines/>
        <w:ind w:left="578" w:firstLine="840"/>
        <w:jc w:val="both"/>
        <w:rPr>
          <w:rFonts w:cs="Calibri"/>
          <w:bCs/>
          <w:sz w:val="24"/>
          <w:szCs w:val="24"/>
        </w:rPr>
      </w:pPr>
    </w:p>
    <w:p w:rsidR="00552AE5" w:rsidRPr="00607B0F" w:rsidRDefault="00552AE5" w:rsidP="00552AE5">
      <w:pPr>
        <w:keepLines/>
        <w:ind w:firstLine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/>
          <w:bCs/>
          <w:sz w:val="24"/>
          <w:szCs w:val="24"/>
        </w:rPr>
        <w:t>Art. 2º</w:t>
      </w:r>
      <w:r w:rsidRPr="00607B0F">
        <w:rPr>
          <w:rFonts w:cs="Calibri"/>
          <w:bCs/>
          <w:sz w:val="24"/>
          <w:szCs w:val="24"/>
        </w:rPr>
        <w:t xml:space="preserve"> A Lei nº 1189, de 02 de outubro de 2006 passa a vigorar acrescida dos seguintes arts.25-A, 25-B e 25-C:</w:t>
      </w:r>
    </w:p>
    <w:p w:rsidR="00552AE5" w:rsidRPr="00607B0F" w:rsidRDefault="00552AE5" w:rsidP="00552AE5">
      <w:pPr>
        <w:keepLines/>
        <w:ind w:firstLine="840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Cs/>
          <w:sz w:val="24"/>
          <w:szCs w:val="24"/>
        </w:rPr>
        <w:tab/>
        <w:t>“.................................................................................................................................</w:t>
      </w:r>
    </w:p>
    <w:p w:rsidR="00552AE5" w:rsidRPr="00607B0F" w:rsidRDefault="00552AE5" w:rsidP="00552AE5">
      <w:pPr>
        <w:pStyle w:val="Ttulo3"/>
        <w:spacing w:before="0" w:after="0"/>
        <w:jc w:val="center"/>
        <w:rPr>
          <w:rFonts w:ascii="Calibri" w:hAnsi="Calibri" w:cs="Calibri"/>
          <w:bCs w:val="0"/>
          <w:sz w:val="24"/>
          <w:szCs w:val="24"/>
        </w:rPr>
      </w:pPr>
      <w:r w:rsidRPr="00607B0F">
        <w:rPr>
          <w:rFonts w:ascii="Calibri" w:hAnsi="Calibri" w:cs="Calibri"/>
          <w:bCs w:val="0"/>
          <w:sz w:val="24"/>
          <w:szCs w:val="24"/>
        </w:rPr>
        <w:t>Seção IV</w:t>
      </w:r>
    </w:p>
    <w:p w:rsidR="00552AE5" w:rsidRPr="00607B0F" w:rsidRDefault="00552AE5" w:rsidP="00552AE5">
      <w:pPr>
        <w:pStyle w:val="Ttulo4"/>
        <w:spacing w:before="0" w:after="0"/>
        <w:jc w:val="center"/>
        <w:rPr>
          <w:rFonts w:cs="Calibri"/>
          <w:sz w:val="24"/>
          <w:szCs w:val="24"/>
        </w:rPr>
      </w:pPr>
      <w:r w:rsidRPr="00607B0F">
        <w:rPr>
          <w:rFonts w:cs="Calibri"/>
          <w:sz w:val="24"/>
          <w:szCs w:val="24"/>
        </w:rPr>
        <w:t>Da Direção de Gestão Administrativa</w:t>
      </w:r>
    </w:p>
    <w:p w:rsidR="00552AE5" w:rsidRPr="00607B0F" w:rsidRDefault="00552AE5" w:rsidP="00552AE5">
      <w:pPr>
        <w:pStyle w:val="Recuodecorpodetexto"/>
        <w:keepLines/>
        <w:ind w:left="1418"/>
        <w:jc w:val="both"/>
        <w:rPr>
          <w:rFonts w:cs="Calibri"/>
          <w:sz w:val="24"/>
          <w:szCs w:val="24"/>
        </w:rPr>
      </w:pPr>
      <w:r w:rsidRPr="00607B0F">
        <w:rPr>
          <w:rFonts w:cs="Calibri"/>
          <w:b/>
          <w:sz w:val="24"/>
          <w:szCs w:val="24"/>
        </w:rPr>
        <w:t>Art. 25-A.</w:t>
      </w:r>
      <w:r w:rsidRPr="00607B0F">
        <w:rPr>
          <w:rFonts w:cs="Calibri"/>
          <w:sz w:val="24"/>
          <w:szCs w:val="24"/>
        </w:rPr>
        <w:t xml:space="preserve"> Fica criado na Estrutura Administrativa do PREVINX, o cargo de </w:t>
      </w:r>
      <w:r w:rsidRPr="00607B0F">
        <w:rPr>
          <w:rFonts w:cs="Calibri"/>
          <w:b/>
          <w:sz w:val="24"/>
          <w:szCs w:val="24"/>
        </w:rPr>
        <w:t>Diretor de Gestão Administrativa</w:t>
      </w:r>
      <w:r w:rsidRPr="00607B0F">
        <w:rPr>
          <w:rFonts w:cs="Calibri"/>
          <w:sz w:val="24"/>
          <w:szCs w:val="24"/>
        </w:rPr>
        <w:t xml:space="preserve">, </w:t>
      </w:r>
      <w:r w:rsidRPr="005A3075">
        <w:rPr>
          <w:rFonts w:cs="Calibri"/>
        </w:rPr>
        <w:t>órgão de direção geral</w:t>
      </w:r>
      <w:r>
        <w:rPr>
          <w:rFonts w:cs="Calibri"/>
          <w:sz w:val="24"/>
          <w:szCs w:val="24"/>
        </w:rPr>
        <w:t xml:space="preserve">, </w:t>
      </w:r>
      <w:r w:rsidRPr="00607B0F">
        <w:rPr>
          <w:rFonts w:cs="Calibri"/>
          <w:sz w:val="24"/>
          <w:szCs w:val="24"/>
        </w:rPr>
        <w:t xml:space="preserve">nos termos desta Lei, nomeado pelo Prefeito Municipal, Municipal com dedicação exclusiva ao Fundo. 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  <w:r w:rsidRPr="00607B0F">
        <w:rPr>
          <w:rFonts w:cs="Calibri"/>
          <w:b/>
          <w:bCs/>
          <w:sz w:val="24"/>
          <w:szCs w:val="24"/>
        </w:rPr>
        <w:t>Art. 25-B.</w:t>
      </w:r>
      <w:r w:rsidRPr="00607B0F">
        <w:rPr>
          <w:rFonts w:cs="Calibri"/>
          <w:bCs/>
          <w:sz w:val="24"/>
          <w:szCs w:val="24"/>
        </w:rPr>
        <w:t xml:space="preserve"> Compete especificamente ao Diretor de Gestão Administrativa: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I - Efetuar o cadastro no respectivo sistema, da documentação recebida da Gerência de Gestão de Pessoas de todos os servidores efetivos;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II - Coletar, preparar e proceder aos lançamentos dos dados necessários a elaboração da folha de pagamento, bem como providenciar a sua execução dentro do prazo estabelecido;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III - Elaborar e arquivar toda a documentação do RPPS;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IV - Organizar e manter atualizado o cadastro de todos os servidores efetivos contribuintes do RPPS;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V - Controlar os documentos exigidos para fins de pagamentos ou descontos previstos em lei;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VI - Controlar as margens consignáveis dos aposentados e pensionistas;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VII - Alimentar em prazo hábil os sistemas da RAIS, DIRF, SEFIP e DCTF;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lastRenderedPageBreak/>
        <w:t>VIII - Atualizar o cadastro para envio de informações para o Cálculo Atuarial, referência em dezembro de cada ano;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IX - Elaborar os processos de aposentadoria e pensões e o envio em tempo hábil ao TCE-MT.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X - Envio do E-Social em tempo hábil;</w:t>
      </w:r>
    </w:p>
    <w:p w:rsidR="00552AE5" w:rsidRPr="00EE45F7" w:rsidRDefault="00552AE5" w:rsidP="00552AE5">
      <w:pPr>
        <w:shd w:val="clear" w:color="auto" w:fill="FFFFFF"/>
        <w:spacing w:before="0" w:after="0"/>
        <w:ind w:left="1418"/>
        <w:jc w:val="both"/>
        <w:rPr>
          <w:rFonts w:eastAsia="Times New Roman" w:cs="Calibri"/>
          <w:color w:val="222222"/>
          <w:sz w:val="24"/>
          <w:szCs w:val="24"/>
          <w:lang w:eastAsia="pt-BR"/>
        </w:rPr>
      </w:pPr>
      <w:r w:rsidRPr="00EE45F7">
        <w:rPr>
          <w:rFonts w:eastAsia="Times New Roman" w:cs="Calibri"/>
          <w:color w:val="222222"/>
          <w:sz w:val="24"/>
          <w:szCs w:val="24"/>
          <w:lang w:eastAsia="pt-BR"/>
        </w:rPr>
        <w:t>XI - Emitir certidões de tempo de contribuição dos servidores exonerados.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bCs/>
          <w:sz w:val="24"/>
          <w:szCs w:val="24"/>
        </w:rPr>
      </w:pPr>
    </w:p>
    <w:p w:rsidR="00552AE5" w:rsidRPr="00607B0F" w:rsidRDefault="00552AE5" w:rsidP="00552AE5">
      <w:pPr>
        <w:shd w:val="clear" w:color="auto" w:fill="FFFFFF"/>
        <w:ind w:left="1418"/>
        <w:jc w:val="both"/>
        <w:rPr>
          <w:rFonts w:eastAsia="Times New Roman" w:cs="Calibri"/>
          <w:sz w:val="24"/>
          <w:szCs w:val="24"/>
          <w:lang w:eastAsia="pt-BR"/>
        </w:rPr>
      </w:pPr>
      <w:r w:rsidRPr="00607B0F">
        <w:rPr>
          <w:rFonts w:cs="Calibri"/>
          <w:b/>
          <w:bCs/>
          <w:sz w:val="24"/>
          <w:szCs w:val="24"/>
        </w:rPr>
        <w:t>Art. 25-C.</w:t>
      </w:r>
      <w:r w:rsidRPr="00607B0F">
        <w:rPr>
          <w:rFonts w:cs="Calibri"/>
          <w:bCs/>
          <w:sz w:val="24"/>
          <w:szCs w:val="24"/>
        </w:rPr>
        <w:t xml:space="preserve"> </w:t>
      </w:r>
      <w:r w:rsidRPr="00607B0F">
        <w:rPr>
          <w:rFonts w:eastAsia="Times New Roman" w:cs="Calibri"/>
          <w:sz w:val="24"/>
          <w:szCs w:val="24"/>
          <w:lang w:eastAsia="pt-BR"/>
        </w:rPr>
        <w:t xml:space="preserve">O cargo de Diretor de Gestão Administrativa será </w:t>
      </w:r>
      <w:r w:rsidRPr="00607B0F">
        <w:rPr>
          <w:rFonts w:cs="Calibri"/>
          <w:sz w:val="24"/>
          <w:szCs w:val="24"/>
        </w:rPr>
        <w:t xml:space="preserve">em comissão e/ou confiança de livre nomeação e exoneração, atendido os requisitos abaixo discriminados, vinculado </w:t>
      </w:r>
      <w:r w:rsidRPr="00607B0F">
        <w:rPr>
          <w:rFonts w:eastAsia="Times New Roman" w:cs="Calibri"/>
          <w:sz w:val="24"/>
          <w:szCs w:val="24"/>
          <w:lang w:eastAsia="pt-BR"/>
        </w:rPr>
        <w:t>a estrutura do Fundo Municipal de Previdência Social – PREVINX: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618"/>
        <w:gridCol w:w="784"/>
        <w:gridCol w:w="1786"/>
        <w:gridCol w:w="1474"/>
      </w:tblGrid>
      <w:tr w:rsidR="00552AE5" w:rsidRPr="00607B0F" w:rsidTr="005E4741">
        <w:tc>
          <w:tcPr>
            <w:tcW w:w="1101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Símbolo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Cargo</w:t>
            </w:r>
          </w:p>
        </w:tc>
        <w:tc>
          <w:tcPr>
            <w:tcW w:w="2618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Requisitos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Nº de Vaga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Gratificação servidor Efetivo e/ou servidor aposentado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552AE5" w:rsidRPr="00607B0F" w:rsidRDefault="00552AE5" w:rsidP="005E4741">
            <w:pPr>
              <w:spacing w:before="100" w:beforeAutospacing="1" w:after="100" w:afterAutospacing="1"/>
              <w:jc w:val="center"/>
              <w:rPr>
                <w:rFonts w:cs="Calibri"/>
                <w:b/>
                <w:sz w:val="24"/>
                <w:szCs w:val="24"/>
              </w:rPr>
            </w:pPr>
            <w:r w:rsidRPr="00607B0F">
              <w:rPr>
                <w:rFonts w:cs="Calibri"/>
                <w:b/>
                <w:sz w:val="24"/>
                <w:szCs w:val="24"/>
              </w:rPr>
              <w:t>Cargo em Confiança</w:t>
            </w:r>
          </w:p>
        </w:tc>
      </w:tr>
      <w:tr w:rsidR="00552AE5" w:rsidRPr="00607B0F" w:rsidTr="005E4741">
        <w:tc>
          <w:tcPr>
            <w:tcW w:w="1101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cs="Calibri"/>
                <w:sz w:val="24"/>
                <w:szCs w:val="24"/>
              </w:rPr>
              <w:t xml:space="preserve"> GF</w:t>
            </w:r>
          </w:p>
        </w:tc>
        <w:tc>
          <w:tcPr>
            <w:tcW w:w="1984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eastAsia="Times New Roman" w:cs="Calibri"/>
                <w:sz w:val="24"/>
                <w:szCs w:val="24"/>
                <w:lang w:eastAsia="pt-BR"/>
              </w:rPr>
              <w:t>Diretor de Gestão Administrativa</w:t>
            </w:r>
          </w:p>
        </w:tc>
        <w:tc>
          <w:tcPr>
            <w:tcW w:w="2618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cs="Calibri"/>
                <w:sz w:val="24"/>
                <w:szCs w:val="24"/>
              </w:rPr>
              <w:t>Preferencialmente ser servidor efetivo, ter conhecimento na área de atuação</w:t>
            </w:r>
          </w:p>
        </w:tc>
        <w:tc>
          <w:tcPr>
            <w:tcW w:w="784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1786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cs="Calibri"/>
                <w:sz w:val="24"/>
                <w:szCs w:val="24"/>
              </w:rPr>
              <w:t xml:space="preserve">R$ 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607B0F">
              <w:rPr>
                <w:rFonts w:cs="Calibri"/>
                <w:sz w:val="24"/>
                <w:szCs w:val="24"/>
              </w:rPr>
              <w:t>.000,00</w:t>
            </w:r>
          </w:p>
        </w:tc>
        <w:tc>
          <w:tcPr>
            <w:tcW w:w="1474" w:type="dxa"/>
          </w:tcPr>
          <w:p w:rsidR="00552AE5" w:rsidRPr="00607B0F" w:rsidRDefault="00552AE5" w:rsidP="005E4741">
            <w:pPr>
              <w:jc w:val="center"/>
              <w:rPr>
                <w:rFonts w:cs="Calibri"/>
                <w:sz w:val="24"/>
                <w:szCs w:val="24"/>
              </w:rPr>
            </w:pPr>
            <w:r w:rsidRPr="00607B0F">
              <w:rPr>
                <w:rFonts w:cs="Calibri"/>
                <w:sz w:val="24"/>
                <w:szCs w:val="24"/>
              </w:rPr>
              <w:t xml:space="preserve">R$ 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607B0F">
              <w:rPr>
                <w:rFonts w:cs="Calibri"/>
                <w:sz w:val="24"/>
                <w:szCs w:val="24"/>
              </w:rPr>
              <w:t>.000,00</w:t>
            </w:r>
          </w:p>
        </w:tc>
      </w:tr>
    </w:tbl>
    <w:p w:rsidR="00552AE5" w:rsidRPr="008B0880" w:rsidRDefault="00552AE5" w:rsidP="00552AE5">
      <w:pPr>
        <w:keepLines/>
        <w:ind w:firstLine="840"/>
        <w:jc w:val="both"/>
        <w:rPr>
          <w:rFonts w:cs="Calibri"/>
          <w:bCs/>
          <w:sz w:val="24"/>
          <w:szCs w:val="24"/>
        </w:rPr>
      </w:pPr>
      <w:r w:rsidRPr="008B0880">
        <w:rPr>
          <w:rFonts w:cs="Calibri"/>
          <w:bCs/>
          <w:sz w:val="24"/>
          <w:szCs w:val="24"/>
        </w:rPr>
        <w:tab/>
        <w:t>.................................................................................................................................</w:t>
      </w:r>
      <w:r>
        <w:rPr>
          <w:rFonts w:cs="Calibri"/>
          <w:bCs/>
          <w:sz w:val="24"/>
          <w:szCs w:val="24"/>
        </w:rPr>
        <w:t>”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4"/>
          <w:szCs w:val="24"/>
        </w:rPr>
      </w:pPr>
      <w:r w:rsidRPr="00607B0F">
        <w:rPr>
          <w:rFonts w:cs="Calibri"/>
          <w:b/>
          <w:sz w:val="24"/>
          <w:szCs w:val="24"/>
        </w:rPr>
        <w:t>Art. 3º</w:t>
      </w:r>
      <w:r w:rsidRPr="00607B0F">
        <w:rPr>
          <w:rFonts w:cs="Calibri"/>
          <w:sz w:val="24"/>
          <w:szCs w:val="24"/>
        </w:rPr>
        <w:t xml:space="preserve"> Revogam-se as disposições em contrário.</w:t>
      </w:r>
    </w:p>
    <w:p w:rsidR="00552AE5" w:rsidRPr="00607B0F" w:rsidRDefault="00552AE5" w:rsidP="00552AE5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color w:val="000000"/>
          <w:sz w:val="24"/>
          <w:szCs w:val="24"/>
        </w:rPr>
      </w:pPr>
      <w:r w:rsidRPr="00607B0F">
        <w:rPr>
          <w:rFonts w:cs="Calibri"/>
          <w:b/>
          <w:color w:val="000000"/>
          <w:sz w:val="24"/>
          <w:szCs w:val="24"/>
        </w:rPr>
        <w:t>Art. 4º</w:t>
      </w:r>
      <w:r w:rsidRPr="00607B0F">
        <w:rPr>
          <w:rFonts w:cs="Calibri"/>
          <w:color w:val="000000"/>
          <w:sz w:val="24"/>
          <w:szCs w:val="24"/>
        </w:rPr>
        <w:t xml:space="preserve"> Esta Lei entra em vigor na data da sua publicação. </w:t>
      </w:r>
    </w:p>
    <w:p w:rsidR="00552AE5" w:rsidRPr="00607B0F" w:rsidRDefault="00552AE5" w:rsidP="00552AE5">
      <w:pPr>
        <w:autoSpaceDE w:val="0"/>
        <w:autoSpaceDN w:val="0"/>
        <w:adjustRightInd w:val="0"/>
        <w:spacing w:after="0"/>
        <w:ind w:firstLine="709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tabs>
          <w:tab w:val="left" w:pos="2268"/>
        </w:tabs>
        <w:spacing w:after="0"/>
        <w:jc w:val="both"/>
        <w:rPr>
          <w:rFonts w:cs="Calibri"/>
          <w:sz w:val="24"/>
          <w:szCs w:val="24"/>
        </w:rPr>
      </w:pPr>
      <w:r w:rsidRPr="00607B0F">
        <w:rPr>
          <w:rFonts w:cs="Calibri"/>
          <w:sz w:val="24"/>
          <w:szCs w:val="24"/>
        </w:rPr>
        <w:t>Palácio dos Pioneiros, Gabinete do Prefeito Municipal, Nova Xavantina - MT, 1</w:t>
      </w:r>
      <w:r>
        <w:rPr>
          <w:rFonts w:cs="Calibri"/>
          <w:sz w:val="24"/>
          <w:szCs w:val="24"/>
        </w:rPr>
        <w:t>7</w:t>
      </w:r>
      <w:r w:rsidRPr="00607B0F">
        <w:rPr>
          <w:rFonts w:cs="Calibri"/>
          <w:sz w:val="24"/>
          <w:szCs w:val="24"/>
        </w:rPr>
        <w:t xml:space="preserve"> de janeiro de 2022.</w:t>
      </w:r>
    </w:p>
    <w:p w:rsidR="00552AE5" w:rsidRPr="00607B0F" w:rsidRDefault="00552AE5" w:rsidP="00552AE5">
      <w:pPr>
        <w:tabs>
          <w:tab w:val="left" w:pos="2268"/>
        </w:tabs>
        <w:spacing w:after="0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tabs>
          <w:tab w:val="left" w:pos="2268"/>
        </w:tabs>
        <w:spacing w:after="0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tabs>
          <w:tab w:val="left" w:pos="2268"/>
        </w:tabs>
        <w:spacing w:after="0"/>
        <w:jc w:val="both"/>
        <w:rPr>
          <w:rFonts w:cs="Calibri"/>
          <w:sz w:val="24"/>
          <w:szCs w:val="24"/>
        </w:rPr>
      </w:pPr>
    </w:p>
    <w:p w:rsidR="00552AE5" w:rsidRPr="00607B0F" w:rsidRDefault="00552AE5" w:rsidP="00552AE5">
      <w:pPr>
        <w:tabs>
          <w:tab w:val="left" w:pos="2268"/>
        </w:tabs>
        <w:spacing w:after="0"/>
        <w:jc w:val="center"/>
        <w:rPr>
          <w:rFonts w:cs="Calibri"/>
          <w:b/>
          <w:sz w:val="24"/>
          <w:szCs w:val="24"/>
        </w:rPr>
      </w:pPr>
      <w:r w:rsidRPr="00607B0F">
        <w:rPr>
          <w:rFonts w:cs="Calibri"/>
          <w:b/>
          <w:sz w:val="24"/>
          <w:szCs w:val="24"/>
        </w:rPr>
        <w:t xml:space="preserve">João Machado Neto </w:t>
      </w:r>
      <w:r w:rsidRPr="00607B0F">
        <w:rPr>
          <w:rFonts w:cs="Calibri"/>
          <w:sz w:val="24"/>
          <w:szCs w:val="24"/>
        </w:rPr>
        <w:t>– João Bang</w:t>
      </w:r>
    </w:p>
    <w:p w:rsidR="00552AE5" w:rsidRPr="00607B0F" w:rsidRDefault="00552AE5" w:rsidP="00552AE5">
      <w:pPr>
        <w:tabs>
          <w:tab w:val="left" w:pos="2268"/>
        </w:tabs>
        <w:spacing w:after="0"/>
        <w:jc w:val="center"/>
        <w:rPr>
          <w:rFonts w:cs="Calibri"/>
          <w:b/>
          <w:sz w:val="24"/>
          <w:szCs w:val="24"/>
        </w:rPr>
      </w:pPr>
      <w:r w:rsidRPr="00607B0F">
        <w:rPr>
          <w:rFonts w:cs="Calibri"/>
          <w:sz w:val="24"/>
          <w:szCs w:val="24"/>
        </w:rPr>
        <w:t>Prefeito Municipal</w:t>
      </w:r>
    </w:p>
    <w:p w:rsidR="00552AE5" w:rsidRPr="00607B0F" w:rsidRDefault="00552AE5" w:rsidP="00552AE5">
      <w:pPr>
        <w:keepLines/>
        <w:ind w:left="1418"/>
        <w:jc w:val="both"/>
        <w:rPr>
          <w:rFonts w:cs="Calibri"/>
          <w:sz w:val="24"/>
          <w:szCs w:val="24"/>
        </w:rPr>
      </w:pPr>
    </w:p>
    <w:p w:rsidR="005B6557" w:rsidRDefault="005B6557">
      <w:bookmarkStart w:id="9" w:name="_GoBack"/>
      <w:bookmarkEnd w:id="9"/>
    </w:p>
    <w:sectPr w:rsidR="005B6557" w:rsidSect="00BF0F40">
      <w:headerReference w:type="default" r:id="rId4"/>
      <w:footerReference w:type="default" r:id="rId5"/>
      <w:pgSz w:w="11906" w:h="16838" w:code="9"/>
      <w:pgMar w:top="1134" w:right="851" w:bottom="1134" w:left="1701" w:header="1134" w:footer="3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C7" w:rsidRDefault="00552AE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552AE5">
      <w:rPr>
        <w:noProof/>
        <w:lang w:val="pt-BR"/>
      </w:rPr>
      <w:t>2</w:t>
    </w:r>
    <w:r>
      <w:fldChar w:fldCharType="end"/>
    </w:r>
  </w:p>
  <w:p w:rsidR="00BF0F40" w:rsidRPr="000019AB" w:rsidRDefault="00552AE5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</w:t>
      </w:r>
      <w:r w:rsidRPr="000019AB">
        <w:rPr>
          <w:rStyle w:val="Hyperlink"/>
          <w:rFonts w:cs="Calibri"/>
          <w:sz w:val="16"/>
          <w:szCs w:val="16"/>
        </w:rPr>
        <w:t>ina.mt.gov.br</w:t>
      </w:r>
    </w:hyperlink>
  </w:p>
  <w:p w:rsidR="00BF0F40" w:rsidRPr="00BF0F40" w:rsidRDefault="00552AE5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:rsidR="00401E60" w:rsidRDefault="00552AE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0" w:rsidRPr="00BA356B" w:rsidRDefault="00552AE5" w:rsidP="00BF0F40">
    <w:pPr>
      <w:pStyle w:val="Cabealho"/>
      <w:jc w:val="center"/>
      <w:rPr>
        <w:rFonts w:cs="Calibri"/>
      </w:rPr>
    </w:pPr>
    <w:r w:rsidRPr="00BA356B">
      <w:rPr>
        <w:rFonts w:cs="Calibri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2543175</wp:posOffset>
          </wp:positionH>
          <wp:positionV relativeFrom="paragraph">
            <wp:posOffset>-475615</wp:posOffset>
          </wp:positionV>
          <wp:extent cx="782320" cy="72834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F40" w:rsidRPr="00BA356B" w:rsidRDefault="00552AE5" w:rsidP="00BF0F40">
    <w:pPr>
      <w:pStyle w:val="Cabealho"/>
      <w:jc w:val="center"/>
      <w:rPr>
        <w:rFonts w:cs="Calibri"/>
      </w:rPr>
    </w:pPr>
  </w:p>
  <w:p w:rsidR="00BF0F40" w:rsidRPr="00BF0F40" w:rsidRDefault="00552AE5" w:rsidP="00BF0F40">
    <w:pPr>
      <w:pStyle w:val="Cabealho"/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 xml:space="preserve">Estado </w:t>
    </w:r>
    <w:r>
      <w:rPr>
        <w:rFonts w:cs="Calibri"/>
        <w:b/>
        <w:sz w:val="26"/>
        <w:szCs w:val="26"/>
        <w:lang w:val="pt-BR"/>
      </w:rPr>
      <w:t>d</w:t>
    </w:r>
    <w:r w:rsidRPr="00BF0F40">
      <w:rPr>
        <w:rFonts w:cs="Calibri"/>
        <w:b/>
        <w:sz w:val="26"/>
        <w:szCs w:val="26"/>
      </w:rPr>
      <w:t>e Mato Grosso</w:t>
    </w:r>
  </w:p>
  <w:p w:rsidR="00BF0F40" w:rsidRPr="00BF0F40" w:rsidRDefault="00552AE5" w:rsidP="00BF0F40">
    <w:pPr>
      <w:pStyle w:val="Cabealho"/>
      <w:pBdr>
        <w:bottom w:val="double" w:sz="6" w:space="1" w:color="auto"/>
      </w:pBdr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 xml:space="preserve">Prefeitura Municipal </w:t>
    </w:r>
    <w:r>
      <w:rPr>
        <w:rFonts w:cs="Calibri"/>
        <w:b/>
        <w:sz w:val="26"/>
        <w:szCs w:val="26"/>
        <w:lang w:val="pt-BR"/>
      </w:rPr>
      <w:t>d</w:t>
    </w:r>
    <w:r w:rsidRPr="00BF0F40">
      <w:rPr>
        <w:rFonts w:cs="Calibri"/>
        <w:b/>
        <w:sz w:val="26"/>
        <w:szCs w:val="26"/>
      </w:rPr>
      <w:t>e Nova Xavantina</w:t>
    </w:r>
  </w:p>
  <w:p w:rsidR="00E66D06" w:rsidRDefault="00552A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E5"/>
    <w:rsid w:val="00552AE5"/>
    <w:rsid w:val="005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F7C199-4A67-4739-94D4-ACBD1434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AE5"/>
    <w:pPr>
      <w:spacing w:before="-1" w:after="-1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2A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2AE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2A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2AE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2AE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2AE5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52AE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2AE5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552AE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552AE5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semiHidden/>
    <w:rsid w:val="00552AE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2AE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2AE5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2A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2A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2022-03-28T20:06:00Z</dcterms:created>
  <dcterms:modified xsi:type="dcterms:W3CDTF">2022-03-28T20:07:00Z</dcterms:modified>
</cp:coreProperties>
</file>