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AC" w:rsidRPr="003C1495" w:rsidRDefault="00022DAC" w:rsidP="00022DAC">
      <w:pPr>
        <w:jc w:val="both"/>
        <w:outlineLvl w:val="0"/>
        <w:rPr>
          <w:rFonts w:asciiTheme="minorHAnsi" w:hAnsiTheme="minorHAnsi" w:cstheme="minorHAnsi"/>
          <w:b/>
          <w:u w:val="single"/>
        </w:rPr>
      </w:pPr>
    </w:p>
    <w:p w:rsidR="00022DAC" w:rsidRPr="003C1495" w:rsidRDefault="00022DAC" w:rsidP="00022DAC">
      <w:pPr>
        <w:jc w:val="center"/>
        <w:outlineLvl w:val="0"/>
        <w:rPr>
          <w:rFonts w:asciiTheme="minorHAnsi" w:hAnsiTheme="minorHAnsi" w:cstheme="minorHAnsi"/>
          <w:b/>
          <w:u w:val="single"/>
        </w:rPr>
      </w:pPr>
      <w:r w:rsidRPr="003C1495">
        <w:rPr>
          <w:rFonts w:asciiTheme="minorHAnsi" w:hAnsiTheme="minorHAnsi" w:cstheme="minorHAnsi"/>
          <w:b/>
          <w:u w:val="single"/>
        </w:rPr>
        <w:t xml:space="preserve">LEI </w:t>
      </w:r>
      <w:r>
        <w:rPr>
          <w:rFonts w:asciiTheme="minorHAnsi" w:hAnsiTheme="minorHAnsi" w:cstheme="minorHAnsi"/>
          <w:b/>
          <w:u w:val="single"/>
        </w:rPr>
        <w:t xml:space="preserve">MUNICIPAL </w:t>
      </w:r>
      <w:r w:rsidRPr="003C1495">
        <w:rPr>
          <w:rFonts w:asciiTheme="minorHAnsi" w:hAnsiTheme="minorHAnsi" w:cstheme="minorHAnsi"/>
          <w:b/>
          <w:u w:val="single"/>
        </w:rPr>
        <w:t xml:space="preserve">N.º </w:t>
      </w:r>
      <w:r>
        <w:rPr>
          <w:rFonts w:asciiTheme="minorHAnsi" w:hAnsiTheme="minorHAnsi" w:cstheme="minorHAnsi"/>
          <w:b/>
          <w:u w:val="single"/>
        </w:rPr>
        <w:t xml:space="preserve">2.351, DE 21 DE DEZEMBRO DE </w:t>
      </w:r>
      <w:r w:rsidRPr="003C1495">
        <w:rPr>
          <w:rFonts w:asciiTheme="minorHAnsi" w:hAnsiTheme="minorHAnsi" w:cstheme="minorHAnsi"/>
          <w:b/>
          <w:u w:val="single"/>
        </w:rPr>
        <w:t>2021</w:t>
      </w:r>
    </w:p>
    <w:p w:rsidR="00022DAC" w:rsidRPr="003C1495" w:rsidRDefault="00022DAC" w:rsidP="00022DAC">
      <w:pPr>
        <w:jc w:val="center"/>
        <w:outlineLvl w:val="0"/>
        <w:rPr>
          <w:rFonts w:asciiTheme="minorHAnsi" w:hAnsiTheme="minorHAnsi" w:cstheme="minorHAnsi"/>
          <w:u w:val="single"/>
        </w:rPr>
      </w:pPr>
    </w:p>
    <w:p w:rsidR="00022DAC" w:rsidRPr="003C1495" w:rsidRDefault="00022DAC" w:rsidP="00022DAC">
      <w:pPr>
        <w:ind w:left="1416"/>
        <w:jc w:val="both"/>
        <w:rPr>
          <w:rFonts w:asciiTheme="minorHAnsi" w:hAnsiTheme="minorHAnsi" w:cstheme="minorHAnsi"/>
          <w:i/>
          <w:color w:val="000000"/>
        </w:rPr>
      </w:pPr>
      <w:r w:rsidRPr="003C1495">
        <w:rPr>
          <w:rFonts w:asciiTheme="minorHAnsi" w:hAnsiTheme="minorHAnsi" w:cstheme="minorHAnsi"/>
          <w:i/>
          <w:color w:val="000000"/>
        </w:rPr>
        <w:t>Autoriza abertura de créditos adicionais especial e suplementar dentro do orçamento vigente e dá outras providências.</w:t>
      </w:r>
    </w:p>
    <w:p w:rsidR="00022DAC" w:rsidRPr="003C1495" w:rsidRDefault="00022DAC" w:rsidP="00022DAC">
      <w:pPr>
        <w:ind w:left="3544"/>
        <w:jc w:val="both"/>
        <w:rPr>
          <w:rFonts w:asciiTheme="minorHAnsi" w:hAnsiTheme="minorHAnsi" w:cstheme="minorHAnsi"/>
        </w:rPr>
      </w:pPr>
    </w:p>
    <w:p w:rsidR="00022DAC" w:rsidRPr="003C1495" w:rsidRDefault="00022DAC" w:rsidP="00022DAC">
      <w:pPr>
        <w:pStyle w:val="NormalWeb"/>
        <w:ind w:firstLine="1418"/>
        <w:jc w:val="both"/>
        <w:rPr>
          <w:rFonts w:asciiTheme="minorHAnsi" w:hAnsiTheme="minorHAnsi" w:cstheme="minorHAnsi"/>
        </w:rPr>
      </w:pPr>
      <w:r w:rsidRPr="003C1495">
        <w:rPr>
          <w:rFonts w:asciiTheme="minorHAnsi" w:hAnsiTheme="minorHAnsi" w:cstheme="minorHAnsi"/>
          <w:bCs/>
        </w:rPr>
        <w:t xml:space="preserve">O </w:t>
      </w:r>
      <w:r w:rsidRPr="003C1495">
        <w:rPr>
          <w:rFonts w:asciiTheme="minorHAnsi" w:hAnsiTheme="minorHAnsi" w:cstheme="minorHAnsi"/>
          <w:b/>
          <w:bCs/>
        </w:rPr>
        <w:t>Prefeito do Município de Nova Xavantina</w:t>
      </w:r>
      <w:r w:rsidRPr="003C1495">
        <w:rPr>
          <w:rFonts w:asciiTheme="minorHAnsi" w:hAnsiTheme="minorHAnsi" w:cstheme="minorHAnsi"/>
        </w:rPr>
        <w:t>, Estado de Mato Grosso, faz saber que a Câmara Municipal aprovou e ele sanciona a seguinte Lei:</w:t>
      </w:r>
    </w:p>
    <w:p w:rsidR="00022DAC" w:rsidRPr="003C1495" w:rsidRDefault="00022DAC" w:rsidP="00022DAC">
      <w:pPr>
        <w:ind w:firstLine="1418"/>
        <w:jc w:val="both"/>
        <w:rPr>
          <w:rFonts w:asciiTheme="minorHAnsi" w:hAnsiTheme="minorHAnsi" w:cstheme="minorHAnsi"/>
          <w:color w:val="000000"/>
        </w:rPr>
      </w:pPr>
    </w:p>
    <w:p w:rsidR="00022DAC" w:rsidRDefault="00022DAC" w:rsidP="00022DAC">
      <w:pPr>
        <w:ind w:firstLine="1418"/>
        <w:jc w:val="both"/>
        <w:rPr>
          <w:rFonts w:asciiTheme="minorHAnsi" w:hAnsiTheme="minorHAnsi" w:cstheme="minorHAnsi"/>
          <w:color w:val="000000"/>
        </w:rPr>
      </w:pPr>
      <w:r w:rsidRPr="003C1495">
        <w:rPr>
          <w:rFonts w:asciiTheme="minorHAnsi" w:hAnsiTheme="minorHAnsi" w:cstheme="minorHAnsi"/>
          <w:b/>
          <w:bCs/>
          <w:color w:val="000000"/>
        </w:rPr>
        <w:t>Art</w:t>
      </w:r>
      <w:r>
        <w:rPr>
          <w:rFonts w:asciiTheme="minorHAnsi" w:hAnsiTheme="minorHAnsi" w:cstheme="minorHAnsi"/>
          <w:b/>
          <w:bCs/>
          <w:color w:val="000000"/>
        </w:rPr>
        <w:t>.</w:t>
      </w:r>
      <w:r w:rsidRPr="003C1495">
        <w:rPr>
          <w:rFonts w:asciiTheme="minorHAnsi" w:hAnsiTheme="minorHAnsi" w:cstheme="minorHAnsi"/>
          <w:b/>
          <w:bCs/>
          <w:color w:val="000000"/>
        </w:rPr>
        <w:t xml:space="preserve"> 1º</w:t>
      </w:r>
      <w:r w:rsidRPr="003C1495">
        <w:rPr>
          <w:rFonts w:asciiTheme="minorHAnsi" w:hAnsiTheme="minorHAnsi" w:cstheme="minorHAnsi"/>
          <w:color w:val="000000"/>
        </w:rPr>
        <w:t> Fica o Poder Executivo autorizado a abrir crédito adicional suplementar no orçamento do ano de 2.021, em conformidade ao disposto no inciso I, do artigo 41 da Lei Federal nº 4.320 de 17 de março de 1.964, com a finalidade de atualizar dotações orçamentárias, no valor de R$ 1.004.000,00 (Um milhão e quatro mil reais) destinado a custear despesas com a manutenção das ações relativas ao FUNDEB - Secretaria Municipal de Educação e Cultura, cobertos pelo excesso de arrecadação.</w:t>
      </w:r>
    </w:p>
    <w:p w:rsidR="00022DAC" w:rsidRPr="003C1495" w:rsidRDefault="00022DAC" w:rsidP="00022DAC">
      <w:pPr>
        <w:ind w:firstLine="1418"/>
        <w:jc w:val="both"/>
        <w:rPr>
          <w:rFonts w:asciiTheme="minorHAnsi" w:hAnsiTheme="minorHAnsi" w:cstheme="minorHAnsi"/>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b/>
          <w:bCs/>
          <w:color w:val="000000"/>
        </w:rPr>
        <w:t>Art</w:t>
      </w:r>
      <w:r>
        <w:rPr>
          <w:rFonts w:asciiTheme="minorHAnsi" w:hAnsiTheme="minorHAnsi" w:cstheme="minorHAnsi"/>
          <w:b/>
          <w:bCs/>
          <w:color w:val="000000"/>
        </w:rPr>
        <w:t>.</w:t>
      </w:r>
      <w:r w:rsidRPr="003C1495">
        <w:rPr>
          <w:rFonts w:asciiTheme="minorHAnsi" w:hAnsiTheme="minorHAnsi" w:cstheme="minorHAnsi"/>
          <w:b/>
          <w:bCs/>
          <w:color w:val="000000"/>
        </w:rPr>
        <w:t xml:space="preserve"> 2º </w:t>
      </w:r>
      <w:r w:rsidRPr="003C1495">
        <w:rPr>
          <w:rFonts w:asciiTheme="minorHAnsi" w:hAnsiTheme="minorHAnsi" w:cstheme="minorHAnsi"/>
          <w:color w:val="000000"/>
        </w:rPr>
        <w:t>O crédito adicional suplementar relativo ao excesso de arrecadação, definido no artigo 1º, terá a seguinte classificação orçamentária:</w:t>
      </w:r>
    </w:p>
    <w:p w:rsidR="00022DAC" w:rsidRPr="003C1495" w:rsidRDefault="00022DAC" w:rsidP="00022DAC">
      <w:pPr>
        <w:ind w:firstLine="1418"/>
        <w:jc w:val="both"/>
        <w:rPr>
          <w:rFonts w:asciiTheme="minorHAnsi" w:hAnsiTheme="minorHAnsi" w:cstheme="minorHAnsi"/>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05 — Secretaria Municipal de Educação e Cultura</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05.001 — FUNDEB</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 — Educação</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12.361 — Ensino Fundamental</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12.361.0109 — Educação Básica Pública</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12.361.0109.2018 — Remuneração dos Professores do Magistério</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 xml:space="preserve">3.1.90.04.00.00.00 — Contratação por Tempo </w:t>
      </w:r>
      <w:proofErr w:type="gramStart"/>
      <w:r w:rsidRPr="003C1495">
        <w:rPr>
          <w:rFonts w:asciiTheme="minorHAnsi" w:hAnsiTheme="minorHAnsi" w:cstheme="minorHAnsi"/>
          <w:color w:val="000000"/>
        </w:rPr>
        <w:t>Determinado..</w:t>
      </w:r>
      <w:proofErr w:type="gramEnd"/>
      <w:r w:rsidRPr="003C1495">
        <w:rPr>
          <w:rFonts w:asciiTheme="minorHAnsi" w:hAnsiTheme="minorHAnsi" w:cstheme="minorHAnsi"/>
          <w:color w:val="000000"/>
        </w:rPr>
        <w:t xml:space="preserve"> R$ 200.000,00</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3.1.90.11.00.00.00 — Vencimentos e Vantagens Fixas............. R$ 490.000,00</w:t>
      </w:r>
    </w:p>
    <w:p w:rsidR="00022DAC" w:rsidRPr="003C1495" w:rsidRDefault="00022DAC" w:rsidP="00022DAC">
      <w:pPr>
        <w:ind w:firstLine="1418"/>
        <w:jc w:val="both"/>
        <w:rPr>
          <w:rFonts w:asciiTheme="minorHAnsi" w:hAnsiTheme="minorHAnsi" w:cstheme="minorHAnsi"/>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12.361.0109.2023 — Remuneração dos Professores do Magistério</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 xml:space="preserve">3.1.90.04.00.00.00 — Contratação por Tempo </w:t>
      </w:r>
      <w:proofErr w:type="gramStart"/>
      <w:r w:rsidRPr="003C1495">
        <w:rPr>
          <w:rFonts w:asciiTheme="minorHAnsi" w:hAnsiTheme="minorHAnsi" w:cstheme="minorHAnsi"/>
          <w:color w:val="000000"/>
        </w:rPr>
        <w:t>Determinado..</w:t>
      </w:r>
      <w:proofErr w:type="gramEnd"/>
      <w:r w:rsidRPr="003C1495">
        <w:rPr>
          <w:rFonts w:asciiTheme="minorHAnsi" w:hAnsiTheme="minorHAnsi" w:cstheme="minorHAnsi"/>
          <w:color w:val="000000"/>
        </w:rPr>
        <w:t xml:space="preserve"> R$    35.000,00</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3.1.90.11.00.00.00 — Vencimentos e Vantagens Fixas............. R$    25.000,00</w:t>
      </w:r>
    </w:p>
    <w:p w:rsidR="00022DAC" w:rsidRPr="003C1495" w:rsidRDefault="00022DAC" w:rsidP="00022DAC">
      <w:pPr>
        <w:ind w:firstLine="1418"/>
        <w:jc w:val="both"/>
        <w:rPr>
          <w:rFonts w:asciiTheme="minorHAnsi" w:hAnsiTheme="minorHAnsi" w:cstheme="minorHAnsi"/>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12.365 — Educação Infantil</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12.365.0109 — Educação Básica Pública</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12.365.0109.2019 — Remuneração dos Professores do Magistério</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 xml:space="preserve">3.1.90.04.00.00.00 — Contratação por Tempo </w:t>
      </w:r>
      <w:proofErr w:type="gramStart"/>
      <w:r w:rsidRPr="003C1495">
        <w:rPr>
          <w:rFonts w:asciiTheme="minorHAnsi" w:hAnsiTheme="minorHAnsi" w:cstheme="minorHAnsi"/>
          <w:color w:val="000000"/>
        </w:rPr>
        <w:t>Determinado..</w:t>
      </w:r>
      <w:proofErr w:type="gramEnd"/>
      <w:r w:rsidRPr="003C1495">
        <w:rPr>
          <w:rFonts w:asciiTheme="minorHAnsi" w:hAnsiTheme="minorHAnsi" w:cstheme="minorHAnsi"/>
          <w:color w:val="000000"/>
        </w:rPr>
        <w:t xml:space="preserve"> R$    32.000,00</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3.1.90.11.00.00.00 — Vencimentos e Vantagens Fixas............. R$ 200.000,00</w:t>
      </w:r>
    </w:p>
    <w:p w:rsidR="00022DAC" w:rsidRPr="003C1495" w:rsidRDefault="00022DAC" w:rsidP="00022DAC">
      <w:pPr>
        <w:ind w:firstLine="1418"/>
        <w:jc w:val="both"/>
        <w:rPr>
          <w:rFonts w:asciiTheme="minorHAnsi" w:hAnsiTheme="minorHAnsi" w:cstheme="minorHAnsi"/>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12.365.0109.2021 — Manutenção e Encargos do FUNDEB</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 xml:space="preserve">3.1.90.04.00.00.00 — Contratação por Tempo </w:t>
      </w:r>
      <w:proofErr w:type="gramStart"/>
      <w:r w:rsidRPr="003C1495">
        <w:rPr>
          <w:rFonts w:asciiTheme="minorHAnsi" w:hAnsiTheme="minorHAnsi" w:cstheme="minorHAnsi"/>
          <w:color w:val="000000"/>
        </w:rPr>
        <w:t>Determinado..</w:t>
      </w:r>
      <w:proofErr w:type="gramEnd"/>
      <w:r w:rsidRPr="003C1495">
        <w:rPr>
          <w:rFonts w:asciiTheme="minorHAnsi" w:hAnsiTheme="minorHAnsi" w:cstheme="minorHAnsi"/>
          <w:color w:val="000000"/>
        </w:rPr>
        <w:t xml:space="preserve"> R$    12.000,00</w:t>
      </w: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color w:val="000000"/>
        </w:rPr>
        <w:t>3.1.90.11.00.00.00 — Vencimentos e Vantagens Fixas............. R$   10.000,00</w:t>
      </w:r>
    </w:p>
    <w:p w:rsidR="00022DAC" w:rsidRPr="003C1495" w:rsidRDefault="00022DAC" w:rsidP="00022DAC">
      <w:pPr>
        <w:ind w:firstLine="1418"/>
        <w:jc w:val="both"/>
        <w:rPr>
          <w:rFonts w:asciiTheme="minorHAnsi" w:hAnsiTheme="minorHAnsi" w:cstheme="minorHAnsi"/>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b/>
          <w:color w:val="000000"/>
        </w:rPr>
        <w:lastRenderedPageBreak/>
        <w:t>Art</w:t>
      </w:r>
      <w:r>
        <w:rPr>
          <w:rFonts w:asciiTheme="minorHAnsi" w:hAnsiTheme="minorHAnsi" w:cstheme="minorHAnsi"/>
          <w:b/>
          <w:color w:val="000000"/>
        </w:rPr>
        <w:t>.</w:t>
      </w:r>
      <w:r w:rsidRPr="003C1495">
        <w:rPr>
          <w:rFonts w:asciiTheme="minorHAnsi" w:hAnsiTheme="minorHAnsi" w:cstheme="minorHAnsi"/>
          <w:b/>
          <w:color w:val="000000"/>
        </w:rPr>
        <w:t xml:space="preserve"> 3º</w:t>
      </w:r>
      <w:r w:rsidRPr="003C1495">
        <w:rPr>
          <w:rFonts w:asciiTheme="minorHAnsi" w:hAnsiTheme="minorHAnsi" w:cstheme="minorHAnsi"/>
          <w:color w:val="000000"/>
        </w:rPr>
        <w:t xml:space="preserve"> O Crédito adicional suplementar de que trata os artigos 1º e 2º será coberto utilizando recursos relativos ao artigo 43 da Lei 4.320/64, inciso II, pelo excesso de arrecadação, conforme demonstrado no cálculo de tendência relativo as transferências do FUNDEB, Fonte — FUNDEB. </w:t>
      </w:r>
    </w:p>
    <w:p w:rsidR="00022DAC" w:rsidRPr="003C1495" w:rsidRDefault="00022DAC" w:rsidP="00022DAC">
      <w:pPr>
        <w:ind w:firstLine="1418"/>
        <w:jc w:val="both"/>
        <w:rPr>
          <w:rFonts w:asciiTheme="minorHAnsi" w:hAnsiTheme="minorHAnsi" w:cstheme="minorHAnsi"/>
          <w:b/>
          <w:bCs/>
          <w:color w:val="000000"/>
        </w:rPr>
      </w:pPr>
    </w:p>
    <w:p w:rsidR="00022DAC" w:rsidRPr="003C1495" w:rsidRDefault="00022DAC" w:rsidP="00022DAC">
      <w:pPr>
        <w:ind w:firstLine="1418"/>
        <w:jc w:val="both"/>
        <w:rPr>
          <w:rFonts w:asciiTheme="minorHAnsi" w:hAnsiTheme="minorHAnsi" w:cstheme="minorHAnsi"/>
          <w:color w:val="000000"/>
        </w:rPr>
      </w:pPr>
      <w:r w:rsidRPr="003C1495">
        <w:rPr>
          <w:rFonts w:asciiTheme="minorHAnsi" w:hAnsiTheme="minorHAnsi" w:cstheme="minorHAnsi"/>
          <w:b/>
          <w:bCs/>
          <w:color w:val="000000"/>
        </w:rPr>
        <w:t>Art</w:t>
      </w:r>
      <w:r>
        <w:rPr>
          <w:rFonts w:asciiTheme="minorHAnsi" w:hAnsiTheme="minorHAnsi" w:cstheme="minorHAnsi"/>
          <w:b/>
          <w:bCs/>
          <w:color w:val="000000"/>
        </w:rPr>
        <w:t>.</w:t>
      </w:r>
      <w:r w:rsidRPr="003C1495">
        <w:rPr>
          <w:rFonts w:asciiTheme="minorHAnsi" w:hAnsiTheme="minorHAnsi" w:cstheme="minorHAnsi"/>
          <w:b/>
          <w:color w:val="000000"/>
        </w:rPr>
        <w:t xml:space="preserve"> 4º</w:t>
      </w:r>
      <w:r w:rsidRPr="003C1495">
        <w:rPr>
          <w:rFonts w:asciiTheme="minorHAnsi" w:hAnsiTheme="minorHAnsi" w:cstheme="minorHAnsi"/>
          <w:color w:val="000000"/>
        </w:rPr>
        <w:t xml:space="preserve"> Fica atualizado o Demonstrativo “Quadro de Detalhamento da Despesa” anexo da Lei nº 2.249 de 28 de dezembro de 2020 que dispõe sobre o Orçamento para o exercício 2021 atualizando os elementos de despesas na fonte de recurso conforme acima relacionados.  </w:t>
      </w:r>
    </w:p>
    <w:p w:rsidR="00022DAC" w:rsidRPr="003C1495" w:rsidRDefault="00022DAC" w:rsidP="00022DAC">
      <w:pPr>
        <w:pStyle w:val="Cabealho"/>
        <w:ind w:firstLine="1418"/>
        <w:rPr>
          <w:rFonts w:asciiTheme="minorHAnsi" w:hAnsiTheme="minorHAnsi" w:cstheme="minorHAnsi"/>
          <w:bCs/>
        </w:rPr>
      </w:pPr>
    </w:p>
    <w:p w:rsidR="00022DAC" w:rsidRPr="003C1495" w:rsidRDefault="00022DAC" w:rsidP="00022DAC">
      <w:pPr>
        <w:pStyle w:val="Cabealho"/>
        <w:ind w:firstLine="1418"/>
        <w:rPr>
          <w:rFonts w:asciiTheme="minorHAnsi" w:hAnsiTheme="minorHAnsi" w:cstheme="minorHAnsi"/>
          <w:bCs/>
        </w:rPr>
      </w:pPr>
      <w:r w:rsidRPr="003C1495">
        <w:rPr>
          <w:rFonts w:asciiTheme="minorHAnsi" w:hAnsiTheme="minorHAnsi" w:cstheme="minorHAnsi"/>
          <w:b/>
          <w:bCs/>
        </w:rPr>
        <w:t>Art. 5º</w:t>
      </w:r>
      <w:r w:rsidRPr="003C1495">
        <w:rPr>
          <w:rFonts w:asciiTheme="minorHAnsi" w:hAnsiTheme="minorHAnsi" w:cstheme="minorHAnsi"/>
          <w:bCs/>
        </w:rPr>
        <w:t xml:space="preserve"> Revogam-se as disposições em contrário.  </w:t>
      </w:r>
    </w:p>
    <w:p w:rsidR="00022DAC" w:rsidRPr="003C1495" w:rsidRDefault="00022DAC" w:rsidP="00022DAC">
      <w:pPr>
        <w:pStyle w:val="Cabealho"/>
        <w:ind w:firstLine="1418"/>
        <w:rPr>
          <w:rFonts w:asciiTheme="minorHAnsi" w:hAnsiTheme="minorHAnsi" w:cstheme="minorHAnsi"/>
          <w:bCs/>
        </w:rPr>
      </w:pPr>
    </w:p>
    <w:p w:rsidR="00022DAC" w:rsidRPr="003C1495" w:rsidRDefault="00022DAC" w:rsidP="00022DAC">
      <w:pPr>
        <w:pStyle w:val="Cabealho"/>
        <w:ind w:firstLine="1418"/>
        <w:rPr>
          <w:rFonts w:asciiTheme="minorHAnsi" w:hAnsiTheme="minorHAnsi" w:cstheme="minorHAnsi"/>
          <w:bCs/>
        </w:rPr>
      </w:pPr>
      <w:r w:rsidRPr="003C1495">
        <w:rPr>
          <w:rFonts w:asciiTheme="minorHAnsi" w:hAnsiTheme="minorHAnsi" w:cstheme="minorHAnsi"/>
          <w:b/>
        </w:rPr>
        <w:t>Art. 6º</w:t>
      </w:r>
      <w:r w:rsidRPr="003C1495">
        <w:rPr>
          <w:rFonts w:asciiTheme="minorHAnsi" w:hAnsiTheme="minorHAnsi" w:cstheme="minorHAnsi"/>
          <w:bCs/>
        </w:rPr>
        <w:t xml:space="preserve"> Esta Lei entra em vigor na data de sua publicação.</w:t>
      </w:r>
    </w:p>
    <w:p w:rsidR="00022DAC" w:rsidRPr="003C1495" w:rsidRDefault="00022DAC" w:rsidP="00022DAC">
      <w:pPr>
        <w:pStyle w:val="Cabealho"/>
        <w:rPr>
          <w:rFonts w:asciiTheme="minorHAnsi" w:hAnsiTheme="minorHAnsi" w:cstheme="minorHAnsi"/>
          <w:bCs/>
        </w:rPr>
      </w:pPr>
    </w:p>
    <w:p w:rsidR="00022DAC" w:rsidRPr="003C1495" w:rsidRDefault="00022DAC" w:rsidP="00022DAC">
      <w:pPr>
        <w:pStyle w:val="Cabealho"/>
        <w:jc w:val="both"/>
        <w:rPr>
          <w:rFonts w:asciiTheme="minorHAnsi" w:hAnsiTheme="minorHAnsi" w:cstheme="minorHAnsi"/>
          <w:bCs/>
        </w:rPr>
      </w:pPr>
      <w:r w:rsidRPr="003C1495">
        <w:rPr>
          <w:rFonts w:asciiTheme="minorHAnsi" w:hAnsiTheme="minorHAnsi" w:cstheme="minorHAnsi"/>
          <w:bCs/>
        </w:rPr>
        <w:t xml:space="preserve">Palácio dos Pioneiros, Gabinete do Prefeito Municipal, Nova Xavantina, </w:t>
      </w:r>
      <w:r>
        <w:rPr>
          <w:rFonts w:asciiTheme="minorHAnsi" w:hAnsiTheme="minorHAnsi" w:cstheme="minorHAnsi"/>
          <w:bCs/>
        </w:rPr>
        <w:t>21</w:t>
      </w:r>
      <w:r w:rsidRPr="003C1495">
        <w:rPr>
          <w:rFonts w:asciiTheme="minorHAnsi" w:hAnsiTheme="minorHAnsi" w:cstheme="minorHAnsi"/>
          <w:bCs/>
        </w:rPr>
        <w:t xml:space="preserve"> de </w:t>
      </w:r>
      <w:r>
        <w:rPr>
          <w:rFonts w:asciiTheme="minorHAnsi" w:hAnsiTheme="minorHAnsi" w:cstheme="minorHAnsi"/>
          <w:bCs/>
        </w:rPr>
        <w:t>dez</w:t>
      </w:r>
      <w:r w:rsidRPr="003C1495">
        <w:rPr>
          <w:rFonts w:asciiTheme="minorHAnsi" w:hAnsiTheme="minorHAnsi" w:cstheme="minorHAnsi"/>
          <w:bCs/>
        </w:rPr>
        <w:t>embro de 2021.</w:t>
      </w:r>
    </w:p>
    <w:p w:rsidR="00022DAC" w:rsidRPr="003C1495" w:rsidRDefault="00022DAC" w:rsidP="00022DAC">
      <w:pPr>
        <w:rPr>
          <w:rFonts w:asciiTheme="minorHAnsi" w:hAnsiTheme="minorHAnsi" w:cstheme="minorHAnsi"/>
        </w:rPr>
      </w:pPr>
    </w:p>
    <w:p w:rsidR="00022DAC" w:rsidRPr="003C1495" w:rsidRDefault="00022DAC" w:rsidP="00022DAC">
      <w:pPr>
        <w:rPr>
          <w:rFonts w:asciiTheme="minorHAnsi" w:hAnsiTheme="minorHAnsi" w:cstheme="minorHAnsi"/>
        </w:rPr>
      </w:pPr>
    </w:p>
    <w:p w:rsidR="00022DAC" w:rsidRPr="003C1495" w:rsidRDefault="00022DAC" w:rsidP="00022DAC">
      <w:pPr>
        <w:jc w:val="center"/>
        <w:rPr>
          <w:rFonts w:asciiTheme="minorHAnsi" w:hAnsiTheme="minorHAnsi" w:cstheme="minorHAnsi"/>
        </w:rPr>
      </w:pPr>
    </w:p>
    <w:p w:rsidR="00022DAC" w:rsidRPr="003C1495" w:rsidRDefault="00022DAC" w:rsidP="00022DAC">
      <w:pPr>
        <w:jc w:val="center"/>
        <w:rPr>
          <w:rFonts w:asciiTheme="minorHAnsi" w:hAnsiTheme="minorHAnsi" w:cstheme="minorHAnsi"/>
        </w:rPr>
      </w:pPr>
      <w:r w:rsidRPr="003C1495">
        <w:rPr>
          <w:rFonts w:asciiTheme="minorHAnsi" w:hAnsiTheme="minorHAnsi" w:cstheme="minorHAnsi"/>
          <w:b/>
        </w:rPr>
        <w:t>João Machado Neto</w:t>
      </w:r>
      <w:r w:rsidRPr="003C1495">
        <w:rPr>
          <w:rFonts w:asciiTheme="minorHAnsi" w:hAnsiTheme="minorHAnsi" w:cstheme="minorHAnsi"/>
        </w:rPr>
        <w:t xml:space="preserve"> – João Bang</w:t>
      </w:r>
    </w:p>
    <w:p w:rsidR="00022DAC" w:rsidRPr="003C1495" w:rsidRDefault="00022DAC" w:rsidP="00022DAC">
      <w:pPr>
        <w:jc w:val="center"/>
        <w:rPr>
          <w:rFonts w:asciiTheme="minorHAnsi" w:hAnsiTheme="minorHAnsi" w:cstheme="minorHAnsi"/>
          <w:b/>
        </w:rPr>
      </w:pPr>
      <w:r w:rsidRPr="003C1495">
        <w:rPr>
          <w:rFonts w:asciiTheme="minorHAnsi" w:hAnsiTheme="minorHAnsi" w:cstheme="minorHAnsi"/>
        </w:rPr>
        <w:t>Prefeito Municipal</w:t>
      </w: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Default="00022DAC" w:rsidP="00022DAC">
      <w:pPr>
        <w:jc w:val="right"/>
        <w:rPr>
          <w:rFonts w:asciiTheme="minorHAnsi" w:hAnsiTheme="minorHAnsi" w:cstheme="minorHAnsi"/>
          <w:b/>
        </w:rPr>
      </w:pPr>
    </w:p>
    <w:p w:rsidR="00022DAC" w:rsidRPr="003C1495" w:rsidRDefault="00022DAC" w:rsidP="00022DAC">
      <w:pPr>
        <w:jc w:val="right"/>
        <w:rPr>
          <w:rFonts w:asciiTheme="minorHAnsi" w:hAnsiTheme="minorHAnsi" w:cstheme="minorHAnsi"/>
          <w:b/>
        </w:rPr>
      </w:pPr>
    </w:p>
    <w:p w:rsidR="00022DAC" w:rsidRPr="003C1495" w:rsidRDefault="00022DAC" w:rsidP="00022DAC">
      <w:pPr>
        <w:jc w:val="right"/>
        <w:rPr>
          <w:rFonts w:asciiTheme="minorHAnsi" w:hAnsiTheme="minorHAnsi" w:cstheme="minorHAnsi"/>
          <w:b/>
        </w:rPr>
      </w:pPr>
    </w:p>
    <w:p w:rsidR="00022DAC" w:rsidRDefault="00022DAC" w:rsidP="00022DAC">
      <w:pPr>
        <w:jc w:val="center"/>
        <w:rPr>
          <w:rFonts w:ascii="Century Gothic" w:hAnsi="Century Gothic"/>
          <w:b/>
          <w:sz w:val="28"/>
          <w:szCs w:val="28"/>
        </w:rPr>
      </w:pPr>
      <w:r w:rsidRPr="00626CF6">
        <w:rPr>
          <w:rFonts w:ascii="Century Gothic" w:hAnsi="Century Gothic"/>
          <w:b/>
          <w:sz w:val="28"/>
          <w:szCs w:val="28"/>
        </w:rPr>
        <w:t>ANEXO</w:t>
      </w:r>
    </w:p>
    <w:p w:rsidR="00022DAC" w:rsidRPr="00626CF6" w:rsidRDefault="00022DAC" w:rsidP="00022DAC">
      <w:pPr>
        <w:jc w:val="center"/>
        <w:rPr>
          <w:rFonts w:ascii="Century Gothic" w:hAnsi="Century Gothic"/>
          <w:b/>
          <w:sz w:val="28"/>
          <w:szCs w:val="28"/>
        </w:rPr>
      </w:pPr>
    </w:p>
    <w:p w:rsidR="00022DAC" w:rsidRDefault="00022DAC" w:rsidP="00022DAC">
      <w:pPr>
        <w:jc w:val="center"/>
        <w:rPr>
          <w:rFonts w:ascii="Century Gothic" w:hAnsi="Century Gothic"/>
          <w:b/>
        </w:rPr>
      </w:pPr>
      <w:r w:rsidRPr="00626CF6">
        <w:rPr>
          <w:rFonts w:ascii="Century Gothic" w:hAnsi="Century Gothic"/>
          <w:b/>
        </w:rPr>
        <w:t>CÁLCULO DA TENDÊNCIA DE EXCESSO DE ARRECADAÇÃO</w:t>
      </w:r>
    </w:p>
    <w:p w:rsidR="00022DAC" w:rsidRPr="00626CF6" w:rsidRDefault="00022DAC" w:rsidP="00022DAC">
      <w:pPr>
        <w:jc w:val="center"/>
        <w:rPr>
          <w:rFonts w:ascii="Century Gothic" w:hAnsi="Century Gothic"/>
          <w:b/>
        </w:rPr>
      </w:pPr>
    </w:p>
    <w:tbl>
      <w:tblPr>
        <w:tblW w:w="9320" w:type="dxa"/>
        <w:tblCellMar>
          <w:left w:w="70" w:type="dxa"/>
          <w:right w:w="70" w:type="dxa"/>
        </w:tblCellMar>
        <w:tblLook w:val="04A0" w:firstRow="1" w:lastRow="0" w:firstColumn="1" w:lastColumn="0" w:noHBand="0" w:noVBand="1"/>
      </w:tblPr>
      <w:tblGrid>
        <w:gridCol w:w="5820"/>
        <w:gridCol w:w="3500"/>
      </w:tblGrid>
      <w:tr w:rsidR="00022DAC" w:rsidRPr="000B6240" w:rsidTr="004554E9">
        <w:trPr>
          <w:trHeight w:val="645"/>
        </w:trPr>
        <w:tc>
          <w:tcPr>
            <w:tcW w:w="5820" w:type="dxa"/>
            <w:tcBorders>
              <w:top w:val="single" w:sz="4" w:space="0" w:color="auto"/>
              <w:left w:val="nil"/>
              <w:bottom w:val="double" w:sz="6" w:space="0" w:color="auto"/>
              <w:right w:val="nil"/>
            </w:tcBorders>
            <w:shd w:val="clear" w:color="auto" w:fill="auto"/>
            <w:noWrap/>
            <w:vAlign w:val="center"/>
            <w:hideMark/>
          </w:tcPr>
          <w:p w:rsidR="00022DAC" w:rsidRPr="000B6240" w:rsidRDefault="00022DAC" w:rsidP="004554E9">
            <w:pPr>
              <w:jc w:val="center"/>
              <w:rPr>
                <w:rFonts w:ascii="Calibri" w:hAnsi="Calibri"/>
                <w:b/>
                <w:bCs/>
                <w:color w:val="000000"/>
              </w:rPr>
            </w:pPr>
            <w:r w:rsidRPr="000B6240">
              <w:rPr>
                <w:rFonts w:ascii="Calibri" w:hAnsi="Calibri"/>
                <w:b/>
                <w:bCs/>
                <w:color w:val="000000"/>
              </w:rPr>
              <w:t>RECEITA</w:t>
            </w:r>
          </w:p>
        </w:tc>
        <w:tc>
          <w:tcPr>
            <w:tcW w:w="3500" w:type="dxa"/>
            <w:tcBorders>
              <w:top w:val="single" w:sz="4" w:space="0" w:color="auto"/>
              <w:left w:val="nil"/>
              <w:bottom w:val="double" w:sz="6" w:space="0" w:color="auto"/>
              <w:right w:val="nil"/>
            </w:tcBorders>
            <w:shd w:val="clear" w:color="auto" w:fill="auto"/>
            <w:vAlign w:val="bottom"/>
            <w:hideMark/>
          </w:tcPr>
          <w:p w:rsidR="00022DAC" w:rsidRPr="000B6240" w:rsidRDefault="00022DAC" w:rsidP="004554E9">
            <w:pPr>
              <w:jc w:val="center"/>
              <w:rPr>
                <w:rFonts w:ascii="Calibri" w:hAnsi="Calibri"/>
                <w:b/>
                <w:bCs/>
                <w:color w:val="000000"/>
              </w:rPr>
            </w:pPr>
            <w:r w:rsidRPr="000B6240">
              <w:rPr>
                <w:rFonts w:ascii="Calibri" w:hAnsi="Calibri"/>
                <w:b/>
                <w:bCs/>
                <w:color w:val="000000"/>
              </w:rPr>
              <w:t>Transferências de Recursos do FUNDEB</w:t>
            </w:r>
          </w:p>
        </w:tc>
      </w:tr>
      <w:tr w:rsidR="00022DAC" w:rsidRPr="000B6240" w:rsidTr="004554E9">
        <w:trPr>
          <w:trHeight w:val="330"/>
        </w:trPr>
        <w:tc>
          <w:tcPr>
            <w:tcW w:w="5820" w:type="dxa"/>
            <w:tcBorders>
              <w:top w:val="nil"/>
              <w:left w:val="nil"/>
              <w:bottom w:val="single" w:sz="4" w:space="0" w:color="auto"/>
              <w:right w:val="nil"/>
            </w:tcBorders>
            <w:shd w:val="clear" w:color="auto" w:fill="auto"/>
            <w:noWrap/>
            <w:vAlign w:val="center"/>
            <w:hideMark/>
          </w:tcPr>
          <w:p w:rsidR="00022DAC" w:rsidRPr="000B6240" w:rsidRDefault="00022DAC" w:rsidP="004554E9">
            <w:pPr>
              <w:jc w:val="center"/>
              <w:rPr>
                <w:rFonts w:ascii="Calibri" w:hAnsi="Calibri"/>
                <w:color w:val="000000"/>
              </w:rPr>
            </w:pPr>
            <w:r w:rsidRPr="000B6240">
              <w:rPr>
                <w:rFonts w:ascii="Calibri" w:hAnsi="Calibri"/>
                <w:color w:val="000000"/>
              </w:rPr>
              <w:t>CÓDIGO DE CLASSIFICAÇÃO</w:t>
            </w:r>
          </w:p>
        </w:tc>
        <w:tc>
          <w:tcPr>
            <w:tcW w:w="3500" w:type="dxa"/>
            <w:tcBorders>
              <w:top w:val="nil"/>
              <w:left w:val="nil"/>
              <w:bottom w:val="single" w:sz="4" w:space="0" w:color="auto"/>
              <w:right w:val="nil"/>
            </w:tcBorders>
            <w:shd w:val="clear" w:color="auto" w:fill="auto"/>
            <w:noWrap/>
            <w:vAlign w:val="center"/>
            <w:hideMark/>
          </w:tcPr>
          <w:p w:rsidR="00022DAC" w:rsidRPr="000B6240" w:rsidRDefault="00022DAC" w:rsidP="004554E9">
            <w:pPr>
              <w:jc w:val="center"/>
              <w:rPr>
                <w:rFonts w:ascii="Calibri" w:hAnsi="Calibri"/>
                <w:color w:val="000000"/>
              </w:rPr>
            </w:pPr>
            <w:r w:rsidRPr="000B6240">
              <w:rPr>
                <w:rFonts w:ascii="Calibri" w:hAnsi="Calibri"/>
                <w:color w:val="000000"/>
              </w:rPr>
              <w:t>175801110000000000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Pr="000B6240" w:rsidRDefault="00022DAC" w:rsidP="004554E9">
            <w:pPr>
              <w:rPr>
                <w:rFonts w:ascii="Calibri" w:hAnsi="Calibri"/>
                <w:color w:val="000000"/>
              </w:rPr>
            </w:pPr>
            <w:r w:rsidRPr="000B6240">
              <w:rPr>
                <w:rFonts w:ascii="Calibri" w:hAnsi="Calibri"/>
                <w:color w:val="000000"/>
              </w:rPr>
              <w:t>DEMONSTRATIVO DA RECEITA ARRECADADA</w:t>
            </w:r>
          </w:p>
        </w:tc>
        <w:tc>
          <w:tcPr>
            <w:tcW w:w="3500" w:type="dxa"/>
            <w:tcBorders>
              <w:top w:val="nil"/>
              <w:left w:val="nil"/>
              <w:bottom w:val="single" w:sz="4" w:space="0" w:color="auto"/>
              <w:right w:val="nil"/>
            </w:tcBorders>
            <w:shd w:val="clear" w:color="auto" w:fill="auto"/>
            <w:noWrap/>
            <w:vAlign w:val="bottom"/>
            <w:hideMark/>
          </w:tcPr>
          <w:p w:rsidR="00022DAC" w:rsidRPr="000B6240" w:rsidRDefault="00022DAC" w:rsidP="004554E9">
            <w:pPr>
              <w:jc w:val="center"/>
              <w:rPr>
                <w:rFonts w:ascii="Calibri" w:hAnsi="Calibri"/>
                <w:color w:val="000000"/>
              </w:rPr>
            </w:pPr>
            <w:r w:rsidRPr="006A0F49">
              <w:rPr>
                <w:rFonts w:ascii="Calibri" w:hAnsi="Calibri"/>
                <w:color w:val="000000"/>
              </w:rPr>
              <w:t>ACUMULADO ATÉ NOVEMBRO/21</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Total Orçado</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8.469.874,75</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Período - Janeiro a Setembro de 2021</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12.143.181,55</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Excesso já observado</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3.673.306,80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Média de arrecadação dos sete (11) primeiros meses</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1.103.925,60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Tendência de arrecadação com base na média arrecadada</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1.103.925,60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color w:val="000000"/>
              </w:rPr>
            </w:pPr>
            <w:r>
              <w:rPr>
                <w:rFonts w:ascii="Calibri" w:hAnsi="Calibri"/>
                <w:color w:val="000000"/>
              </w:rPr>
              <w:t>Valor arrecadado (+) tendência de arrecadação (-) orçado</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color w:val="000000"/>
              </w:rPr>
            </w:pPr>
            <w:r>
              <w:rPr>
                <w:rFonts w:ascii="Calibri" w:hAnsi="Calibri"/>
                <w:color w:val="000000"/>
              </w:rPr>
              <w:t>4.777.232,40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Default="00022DAC" w:rsidP="004554E9">
            <w:pPr>
              <w:rPr>
                <w:rFonts w:ascii="Calibri" w:hAnsi="Calibri"/>
                <w:b/>
                <w:bCs/>
                <w:color w:val="000000"/>
              </w:rPr>
            </w:pPr>
            <w:r>
              <w:rPr>
                <w:rFonts w:ascii="Calibri" w:hAnsi="Calibri"/>
                <w:b/>
                <w:bCs/>
                <w:color w:val="000000"/>
              </w:rPr>
              <w:t>TOTAL CONSIDERADO EM CRÉDITO ADICINAL ANTERIOR</w:t>
            </w:r>
          </w:p>
        </w:tc>
        <w:tc>
          <w:tcPr>
            <w:tcW w:w="3500" w:type="dxa"/>
            <w:tcBorders>
              <w:top w:val="nil"/>
              <w:left w:val="nil"/>
              <w:bottom w:val="single" w:sz="4" w:space="0" w:color="auto"/>
              <w:right w:val="nil"/>
            </w:tcBorders>
            <w:shd w:val="clear" w:color="auto" w:fill="auto"/>
            <w:noWrap/>
            <w:vAlign w:val="bottom"/>
            <w:hideMark/>
          </w:tcPr>
          <w:p w:rsidR="00022DAC" w:rsidRDefault="00022DAC" w:rsidP="004554E9">
            <w:pPr>
              <w:jc w:val="center"/>
              <w:rPr>
                <w:rFonts w:ascii="Calibri" w:hAnsi="Calibri"/>
                <w:b/>
                <w:bCs/>
                <w:color w:val="000000"/>
              </w:rPr>
            </w:pPr>
            <w:r>
              <w:rPr>
                <w:rFonts w:ascii="Calibri" w:hAnsi="Calibri"/>
                <w:b/>
                <w:bCs/>
                <w:color w:val="000000"/>
              </w:rPr>
              <w:t>1.990.000,00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tcPr>
          <w:p w:rsidR="00022DAC" w:rsidRPr="007747FF" w:rsidRDefault="00022DAC" w:rsidP="004554E9">
            <w:pPr>
              <w:rPr>
                <w:rFonts w:ascii="Calibri" w:hAnsi="Calibri"/>
                <w:b/>
                <w:bCs/>
                <w:color w:val="000000"/>
              </w:rPr>
            </w:pPr>
            <w:r>
              <w:rPr>
                <w:rFonts w:ascii="Calibri" w:hAnsi="Calibri"/>
                <w:b/>
                <w:bCs/>
                <w:color w:val="000000"/>
              </w:rPr>
              <w:t>TOTAL A SER CONSIDERADO NO CRÉDITO ADICIONAL ATUAL</w:t>
            </w:r>
          </w:p>
        </w:tc>
        <w:tc>
          <w:tcPr>
            <w:tcW w:w="3500" w:type="dxa"/>
            <w:tcBorders>
              <w:top w:val="nil"/>
              <w:left w:val="nil"/>
              <w:bottom w:val="single" w:sz="4" w:space="0" w:color="auto"/>
              <w:right w:val="nil"/>
            </w:tcBorders>
            <w:shd w:val="clear" w:color="auto" w:fill="auto"/>
            <w:noWrap/>
            <w:vAlign w:val="bottom"/>
          </w:tcPr>
          <w:p w:rsidR="00022DAC" w:rsidRDefault="00022DAC" w:rsidP="004554E9">
            <w:pPr>
              <w:jc w:val="center"/>
              <w:rPr>
                <w:rFonts w:ascii="Calibri" w:hAnsi="Calibri"/>
                <w:b/>
                <w:bCs/>
                <w:color w:val="000000"/>
              </w:rPr>
            </w:pPr>
            <w:r>
              <w:rPr>
                <w:rFonts w:ascii="Calibri" w:hAnsi="Calibri"/>
                <w:b/>
                <w:bCs/>
                <w:color w:val="000000"/>
              </w:rPr>
              <w:t>1.004.000,00</w:t>
            </w:r>
          </w:p>
        </w:tc>
      </w:tr>
      <w:tr w:rsidR="00022DAC" w:rsidRPr="000B6240" w:rsidTr="004554E9">
        <w:trPr>
          <w:trHeight w:val="315"/>
        </w:trPr>
        <w:tc>
          <w:tcPr>
            <w:tcW w:w="5820" w:type="dxa"/>
            <w:tcBorders>
              <w:top w:val="nil"/>
              <w:left w:val="nil"/>
              <w:bottom w:val="single" w:sz="4" w:space="0" w:color="auto"/>
              <w:right w:val="nil"/>
            </w:tcBorders>
            <w:shd w:val="clear" w:color="auto" w:fill="auto"/>
            <w:noWrap/>
            <w:vAlign w:val="bottom"/>
            <w:hideMark/>
          </w:tcPr>
          <w:p w:rsidR="00022DAC" w:rsidRPr="000B6240" w:rsidRDefault="00022DAC" w:rsidP="004554E9">
            <w:pPr>
              <w:rPr>
                <w:rFonts w:ascii="Calibri" w:hAnsi="Calibri"/>
                <w:b/>
                <w:bCs/>
                <w:color w:val="000000"/>
              </w:rPr>
            </w:pPr>
            <w:r w:rsidRPr="000B6240">
              <w:rPr>
                <w:rFonts w:ascii="Calibri" w:hAnsi="Calibri"/>
                <w:b/>
                <w:bCs/>
                <w:color w:val="000000"/>
              </w:rPr>
              <w:t>FONTE</w:t>
            </w:r>
          </w:p>
        </w:tc>
        <w:tc>
          <w:tcPr>
            <w:tcW w:w="3500" w:type="dxa"/>
            <w:tcBorders>
              <w:top w:val="nil"/>
              <w:left w:val="nil"/>
              <w:bottom w:val="single" w:sz="4" w:space="0" w:color="auto"/>
              <w:right w:val="nil"/>
            </w:tcBorders>
            <w:shd w:val="clear" w:color="auto" w:fill="auto"/>
            <w:noWrap/>
            <w:vAlign w:val="bottom"/>
            <w:hideMark/>
          </w:tcPr>
          <w:p w:rsidR="00022DAC" w:rsidRPr="000B6240" w:rsidRDefault="00022DAC" w:rsidP="004554E9">
            <w:pPr>
              <w:jc w:val="center"/>
              <w:rPr>
                <w:rFonts w:ascii="Calibri" w:hAnsi="Calibri"/>
                <w:b/>
                <w:bCs/>
                <w:color w:val="000000"/>
              </w:rPr>
            </w:pPr>
            <w:r w:rsidRPr="000B6240">
              <w:rPr>
                <w:rFonts w:ascii="Calibri" w:hAnsi="Calibri"/>
                <w:b/>
                <w:bCs/>
                <w:color w:val="000000"/>
              </w:rPr>
              <w:t xml:space="preserve"> FUNDEB </w:t>
            </w:r>
          </w:p>
        </w:tc>
      </w:tr>
    </w:tbl>
    <w:p w:rsidR="00022DAC" w:rsidRDefault="00022DAC" w:rsidP="00022DAC">
      <w:pPr>
        <w:jc w:val="center"/>
        <w:rPr>
          <w:rFonts w:ascii="Century Gothic" w:hAnsi="Century Gothic"/>
        </w:rPr>
      </w:pPr>
    </w:p>
    <w:p w:rsidR="00022DAC" w:rsidRDefault="00022DAC" w:rsidP="00022DAC">
      <w:pPr>
        <w:jc w:val="center"/>
        <w:rPr>
          <w:rFonts w:ascii="Century Gothic" w:hAnsi="Century Gothic"/>
        </w:rPr>
      </w:pPr>
    </w:p>
    <w:p w:rsidR="00022DAC" w:rsidRDefault="00022DAC" w:rsidP="00022DAC">
      <w:pPr>
        <w:jc w:val="center"/>
        <w:rPr>
          <w:rFonts w:ascii="Century Gothic" w:hAnsi="Century Gothic"/>
        </w:rPr>
      </w:pPr>
    </w:p>
    <w:p w:rsidR="00022DAC" w:rsidRPr="007E0583" w:rsidRDefault="00022DAC" w:rsidP="00022DAC">
      <w:pPr>
        <w:jc w:val="center"/>
        <w:rPr>
          <w:rFonts w:ascii="Californian FB" w:hAnsi="Californian FB"/>
        </w:rPr>
      </w:pPr>
    </w:p>
    <w:p w:rsidR="00022DAC" w:rsidRPr="007E0583" w:rsidRDefault="00022DAC" w:rsidP="00022DAC">
      <w:pPr>
        <w:jc w:val="center"/>
        <w:rPr>
          <w:rFonts w:ascii="Californian FB" w:hAnsi="Californian FB"/>
        </w:rPr>
      </w:pPr>
    </w:p>
    <w:tbl>
      <w:tblPr>
        <w:tblStyle w:val="Tabelacomgrade"/>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7"/>
      </w:tblGrid>
      <w:tr w:rsidR="00022DAC" w:rsidRPr="007E0583" w:rsidTr="004554E9">
        <w:tc>
          <w:tcPr>
            <w:tcW w:w="4536" w:type="dxa"/>
          </w:tcPr>
          <w:p w:rsidR="00022DAC" w:rsidRPr="00951791" w:rsidRDefault="00022DAC" w:rsidP="004554E9">
            <w:pPr>
              <w:spacing w:after="160" w:line="360" w:lineRule="auto"/>
              <w:ind w:firstLine="709"/>
              <w:rPr>
                <w:rFonts w:ascii="Century Gothic" w:hAnsi="Century Gothic"/>
              </w:rPr>
            </w:pPr>
            <w:r w:rsidRPr="00951791">
              <w:rPr>
                <w:rFonts w:ascii="Century Gothic" w:hAnsi="Century Gothic"/>
              </w:rPr>
              <w:t xml:space="preserve">João Machado Neto </w:t>
            </w:r>
          </w:p>
        </w:tc>
        <w:tc>
          <w:tcPr>
            <w:tcW w:w="4677" w:type="dxa"/>
          </w:tcPr>
          <w:p w:rsidR="00022DAC" w:rsidRPr="00951791" w:rsidRDefault="00022DAC" w:rsidP="004554E9">
            <w:pPr>
              <w:spacing w:after="160" w:line="360" w:lineRule="auto"/>
              <w:ind w:firstLine="709"/>
              <w:rPr>
                <w:rFonts w:ascii="Century Gothic" w:hAnsi="Century Gothic"/>
              </w:rPr>
            </w:pPr>
            <w:r w:rsidRPr="00951791">
              <w:rPr>
                <w:rFonts w:ascii="Century Gothic" w:hAnsi="Century Gothic"/>
              </w:rPr>
              <w:t xml:space="preserve">Dr. </w:t>
            </w:r>
            <w:proofErr w:type="spellStart"/>
            <w:r w:rsidRPr="00951791">
              <w:rPr>
                <w:rFonts w:ascii="Century Gothic" w:hAnsi="Century Gothic"/>
              </w:rPr>
              <w:t>Josimar</w:t>
            </w:r>
            <w:proofErr w:type="spellEnd"/>
            <w:r w:rsidRPr="00951791">
              <w:rPr>
                <w:rFonts w:ascii="Century Gothic" w:hAnsi="Century Gothic"/>
              </w:rPr>
              <w:t xml:space="preserve"> Pires da Silva</w:t>
            </w:r>
          </w:p>
        </w:tc>
      </w:tr>
      <w:tr w:rsidR="00022DAC" w:rsidRPr="007E0583" w:rsidTr="004554E9">
        <w:tc>
          <w:tcPr>
            <w:tcW w:w="4536" w:type="dxa"/>
          </w:tcPr>
          <w:p w:rsidR="00022DAC" w:rsidRPr="00951791" w:rsidRDefault="00022DAC" w:rsidP="004554E9">
            <w:pPr>
              <w:spacing w:after="160" w:line="360" w:lineRule="auto"/>
              <w:rPr>
                <w:rFonts w:ascii="Century Gothic" w:hAnsi="Century Gothic"/>
                <w:sz w:val="18"/>
                <w:szCs w:val="18"/>
              </w:rPr>
            </w:pPr>
            <w:r w:rsidRPr="00951791">
              <w:rPr>
                <w:rFonts w:ascii="Century Gothic" w:hAnsi="Century Gothic"/>
                <w:sz w:val="18"/>
                <w:szCs w:val="18"/>
              </w:rPr>
              <w:t>Prefeito do Município de Nova Xavantina—MT</w:t>
            </w:r>
          </w:p>
        </w:tc>
        <w:tc>
          <w:tcPr>
            <w:tcW w:w="4677" w:type="dxa"/>
          </w:tcPr>
          <w:p w:rsidR="00022DAC" w:rsidRPr="00951791" w:rsidRDefault="00022DAC" w:rsidP="004554E9">
            <w:pPr>
              <w:spacing w:after="160" w:line="360" w:lineRule="auto"/>
              <w:rPr>
                <w:rFonts w:ascii="Century Gothic" w:hAnsi="Century Gothic"/>
                <w:sz w:val="18"/>
                <w:szCs w:val="18"/>
              </w:rPr>
            </w:pPr>
            <w:r w:rsidRPr="00951791">
              <w:rPr>
                <w:rFonts w:ascii="Century Gothic" w:hAnsi="Century Gothic"/>
                <w:sz w:val="18"/>
                <w:szCs w:val="18"/>
              </w:rPr>
              <w:t>Contador do Município de Nova Xavantina—MT</w:t>
            </w:r>
          </w:p>
        </w:tc>
      </w:tr>
    </w:tbl>
    <w:p w:rsidR="00022DAC" w:rsidRPr="00E323B3" w:rsidRDefault="00022DAC" w:rsidP="00022DAC">
      <w:pPr>
        <w:spacing w:line="360" w:lineRule="auto"/>
        <w:jc w:val="center"/>
        <w:rPr>
          <w:rFonts w:ascii="Century Gothic" w:hAnsi="Century Gothic"/>
        </w:rPr>
      </w:pPr>
    </w:p>
    <w:p w:rsidR="00DC0DA7" w:rsidRDefault="00DC0DA7">
      <w:bookmarkStart w:id="0" w:name="_GoBack"/>
      <w:bookmarkEnd w:id="0"/>
    </w:p>
    <w:sectPr w:rsidR="00DC0DA7" w:rsidSect="003652D5">
      <w:headerReference w:type="default" r:id="rId4"/>
      <w:footerReference w:type="default" r:id="rId5"/>
      <w:pgSz w:w="11906" w:h="16838" w:code="9"/>
      <w:pgMar w:top="1134" w:right="849" w:bottom="1134" w:left="1701" w:header="1134" w:footer="9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D5" w:rsidRPr="00AF6D53" w:rsidRDefault="00022DAC" w:rsidP="003652D5">
    <w:pPr>
      <w:pStyle w:val="Cabealho"/>
      <w:jc w:val="center"/>
      <w:rPr>
        <w:rFonts w:ascii="Calibri" w:hAnsi="Calibri" w:cs="Calibri"/>
        <w:sz w:val="16"/>
        <w:szCs w:val="16"/>
      </w:rPr>
    </w:pPr>
    <w:r w:rsidRPr="00AF6D53">
      <w:rPr>
        <w:rFonts w:ascii="Calibri" w:hAnsi="Calibri" w:cs="Calibri"/>
        <w:sz w:val="16"/>
        <w:szCs w:val="16"/>
      </w:rPr>
      <w:t xml:space="preserve">Avenida Expedição Roncador Xingu, n.º 249 – Centro – </w:t>
    </w:r>
    <w:hyperlink r:id="rId1" w:history="1">
      <w:r w:rsidRPr="00AF6D53">
        <w:rPr>
          <w:rStyle w:val="Hyperlink"/>
          <w:rFonts w:ascii="Calibri" w:hAnsi="Calibri" w:cs="Calibri"/>
          <w:sz w:val="16"/>
          <w:szCs w:val="16"/>
        </w:rPr>
        <w:t>www.novaxavantina.mt.gov.br</w:t>
      </w:r>
    </w:hyperlink>
  </w:p>
  <w:p w:rsidR="003652D5" w:rsidRPr="003652D5" w:rsidRDefault="00022DAC" w:rsidP="003652D5">
    <w:pPr>
      <w:pStyle w:val="Cabealho"/>
      <w:jc w:val="center"/>
      <w:rPr>
        <w:rFonts w:ascii="Calibri" w:hAnsi="Calibri" w:cs="Calibri"/>
        <w:sz w:val="16"/>
        <w:szCs w:val="16"/>
      </w:rPr>
    </w:pPr>
    <w:r w:rsidRPr="00AF6D53">
      <w:rPr>
        <w:rFonts w:ascii="Calibri" w:hAnsi="Calibri" w:cs="Calibri"/>
        <w:sz w:val="16"/>
        <w:szCs w:val="16"/>
      </w:rPr>
      <w:t>Nov</w:t>
    </w:r>
    <w:r>
      <w:rPr>
        <w:rFonts w:ascii="Calibri" w:hAnsi="Calibri" w:cs="Calibri"/>
        <w:sz w:val="16"/>
        <w:szCs w:val="16"/>
      </w:rPr>
      <w:t>a Xavantina/MT –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D5" w:rsidRDefault="00022DAC" w:rsidP="003652D5">
    <w:pPr>
      <w:pStyle w:val="Cabealho"/>
      <w:jc w:val="center"/>
    </w:pPr>
    <w:r>
      <w:rPr>
        <w:iCs/>
        <w:noProof/>
      </w:rPr>
      <w:drawing>
        <wp:anchor distT="0" distB="0" distL="114300" distR="114300" simplePos="0" relativeHeight="251659264" behindDoc="0" locked="0" layoutInCell="1" allowOverlap="1" wp14:anchorId="276A7966" wp14:editId="3ABFF414">
          <wp:simplePos x="0" y="0"/>
          <wp:positionH relativeFrom="column">
            <wp:posOffset>2456180</wp:posOffset>
          </wp:positionH>
          <wp:positionV relativeFrom="paragraph">
            <wp:posOffset>-331470</wp:posOffset>
          </wp:positionV>
          <wp:extent cx="884555" cy="823595"/>
          <wp:effectExtent l="0" t="0" r="0" b="0"/>
          <wp:wrapSquare wrapText="bothSides"/>
          <wp:docPr id="4" name="Imagem 4"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p w:rsidR="003652D5" w:rsidRDefault="00022DAC" w:rsidP="003652D5">
    <w:pPr>
      <w:pStyle w:val="Cabealho"/>
      <w:jc w:val="center"/>
    </w:pPr>
  </w:p>
  <w:p w:rsidR="003652D5" w:rsidRDefault="00022DAC" w:rsidP="003652D5">
    <w:pPr>
      <w:pStyle w:val="Cabealho"/>
      <w:jc w:val="center"/>
    </w:pPr>
  </w:p>
  <w:p w:rsidR="003652D5" w:rsidRPr="00AF6D53" w:rsidRDefault="00022DAC" w:rsidP="003652D5">
    <w:pPr>
      <w:pStyle w:val="Cabealho"/>
      <w:jc w:val="center"/>
      <w:rPr>
        <w:rFonts w:ascii="Calibri" w:hAnsi="Calibri" w:cs="Calibri"/>
        <w:b/>
      </w:rPr>
    </w:pPr>
    <w:r w:rsidRPr="00AF6D53">
      <w:rPr>
        <w:rFonts w:ascii="Calibri" w:hAnsi="Calibri" w:cs="Calibri"/>
        <w:b/>
      </w:rPr>
      <w:t>Estado de Mato Grosso</w:t>
    </w:r>
  </w:p>
  <w:p w:rsidR="003652D5" w:rsidRPr="00AF6D53" w:rsidRDefault="00022DAC" w:rsidP="003652D5">
    <w:pPr>
      <w:pStyle w:val="Cabealho"/>
      <w:jc w:val="center"/>
      <w:rPr>
        <w:rFonts w:ascii="Calibri" w:hAnsi="Calibri" w:cs="Calibri"/>
        <w:b/>
      </w:rPr>
    </w:pPr>
    <w:r w:rsidRPr="00AF6D53">
      <w:rPr>
        <w:rFonts w:ascii="Calibri" w:hAnsi="Calibri" w:cs="Calibri"/>
        <w:b/>
      </w:rPr>
      <w:t xml:space="preserve">Prefeitura </w:t>
    </w:r>
    <w:r>
      <w:rPr>
        <w:rFonts w:ascii="Calibri" w:hAnsi="Calibri" w:cs="Calibri"/>
        <w:b/>
      </w:rPr>
      <w:t>Municipal de Nova Xavantina</w:t>
    </w:r>
  </w:p>
  <w:p w:rsidR="004E04AF" w:rsidRPr="005B2BD3" w:rsidRDefault="00022DAC" w:rsidP="004E04AF">
    <w:pPr>
      <w:pStyle w:val="Cabealho"/>
      <w:pBdr>
        <w:bottom w:val="double" w:sz="6" w:space="1" w:color="auto"/>
      </w:pBd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AC"/>
    <w:rsid w:val="00022DAC"/>
    <w:rsid w:val="00DC0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6452D-5759-4A67-9567-0CA66A19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D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2DAC"/>
    <w:pPr>
      <w:tabs>
        <w:tab w:val="center" w:pos="4252"/>
        <w:tab w:val="right" w:pos="8504"/>
      </w:tabs>
    </w:pPr>
  </w:style>
  <w:style w:type="character" w:customStyle="1" w:styleId="CabealhoChar">
    <w:name w:val="Cabeçalho Char"/>
    <w:basedOn w:val="Fontepargpadro"/>
    <w:link w:val="Cabealho"/>
    <w:uiPriority w:val="99"/>
    <w:rsid w:val="00022DAC"/>
    <w:rPr>
      <w:rFonts w:ascii="Times New Roman" w:eastAsia="Times New Roman" w:hAnsi="Times New Roman" w:cs="Times New Roman"/>
      <w:sz w:val="24"/>
      <w:szCs w:val="24"/>
      <w:lang w:eastAsia="pt-BR"/>
    </w:rPr>
  </w:style>
  <w:style w:type="character" w:styleId="Hyperlink">
    <w:name w:val="Hyperlink"/>
    <w:rsid w:val="00022DAC"/>
    <w:rPr>
      <w:color w:val="0563C1"/>
      <w:u w:val="single"/>
    </w:rPr>
  </w:style>
  <w:style w:type="paragraph" w:styleId="NormalWeb">
    <w:name w:val="Normal (Web)"/>
    <w:basedOn w:val="Normal"/>
    <w:rsid w:val="00022DAC"/>
  </w:style>
  <w:style w:type="table" w:styleId="Tabelacomgrade">
    <w:name w:val="Table Grid"/>
    <w:basedOn w:val="Tabelanormal"/>
    <w:uiPriority w:val="59"/>
    <w:rsid w:val="00022DAC"/>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3068</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2022-03-28T20:33:00Z</dcterms:created>
  <dcterms:modified xsi:type="dcterms:W3CDTF">2022-03-28T20:34:00Z</dcterms:modified>
</cp:coreProperties>
</file>