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44" w:rsidRPr="00490544" w:rsidRDefault="00490544" w:rsidP="0049054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490544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>N.º</w:t>
      </w:r>
      <w:proofErr w:type="gramEnd"/>
      <w:r w:rsidRPr="00490544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 2.343, DE 21 DE DEZEMBRO DE 2021</w:t>
      </w:r>
    </w:p>
    <w:p w:rsidR="00490544" w:rsidRPr="00490544" w:rsidRDefault="00490544" w:rsidP="00490544">
      <w:pPr>
        <w:spacing w:after="0" w:line="240" w:lineRule="auto"/>
        <w:ind w:left="4253"/>
        <w:rPr>
          <w:rFonts w:ascii="Calibri" w:eastAsia="Times New Roman" w:hAnsi="Calibri" w:cs="Calibri"/>
          <w:i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left="1416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Dispõe sobre a nova tabela para lançamento e cobrança do ITBI a partir de 2022, e dá outras providências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Pr="004905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Prefeito do Município de Nova Xavantina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Estado de Mato Grosso, faz saber que a Câmara Municipal aprovou e ele sanciona a seguinte Lei;</w:t>
      </w:r>
    </w:p>
    <w:p w:rsidR="00490544" w:rsidRPr="00490544" w:rsidRDefault="00490544" w:rsidP="00490544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Art. 1º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Para efeitos de lançamento e cobrança do </w:t>
      </w: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 xml:space="preserve">ITBI – Imposto Sobre Transmissão de Bens Imóveis 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partir de 1º de janeiro de 2022 – imóveis rurais, passam a vigorar os valores constantes no Anexo I, que é parte integrante desta Lei.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1º Os valores constantes no Anexo I são base para a obtenção do valor da terra nua, não excluindo as benfeitorias para a determinação da avaliação do imóvel rural.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§ 2º O recolhimento do Imposto aludido no </w:t>
      </w: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caput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deste artigo será recolhido em parcela única.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3º Os recolhimentos efetuados via boletos bancários ou qualquer outro meio, somente serão liberadas as guias após verificada pela Gerência de Tesouraria da Prefeitura a devida compensação do documento.</w:t>
      </w:r>
    </w:p>
    <w:p w:rsidR="00490544" w:rsidRPr="00490544" w:rsidRDefault="00490544" w:rsidP="00490544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Art. 2º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Para efeito de lançamento e cobrança do </w:t>
      </w: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ITBI – Imposto Sobre Transmissão de Bens Imóveis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deverá ser considerado o valor definido pela Comissão de Avaliação de Imóveis - ITBI, composta por 03 (três) membros titulares e 01 (um) suplente, nomeada pelo Chefe do Poder Executivo Municipal.</w:t>
      </w:r>
    </w:p>
    <w:p w:rsidR="00490544" w:rsidRPr="00490544" w:rsidRDefault="00490544" w:rsidP="00490544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Parágrafo único.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avaliação da Comissão de que trata o </w:t>
      </w: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caput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deste artigo, deverá ter no mínimo a assinatura de 02 (dois) membros.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Art. 3º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Para dar entrada no processo de recolhimento do ITBI, o contribuinte deverá apresentar a Comissão de Avaliação de Imóveis a Guia de informações do ITBI devidamente assinada, matrícula do imóvel devidamente atualizada pelo Cartório de Registro de Imóveis e cópia dos documentos pessoais e/ou jurídicos dos adquirentes.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1º Para imóveis rurais serão requisitados documentos complementares, como Cadastro Ambiental Rural (CAR), Georreferenciamento, memorial descritivo e/ou documento similar que identifique a localização espacial do imóvel.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§ 2º Para imóveis urbanos a avaliação do imóvel não poderá ser inferior ao definido na Planta Genérica do município para cobrança do IPTU do exercício fiscal vigente.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>Art. 4º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base de cálculo do referido imposto será o valor da operação declarado na Guia de informações do ITBI, desde que o valor seja igual ou superior ao valor apurado pela Comissão de Avaliação de Imóveis – ITBI.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Art. 5º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Caso o contribuinte discorde dos valores da tabela de cobrança do ITBI 2022 – Anexo I que integra a presente Lei, deverá o contribuinte apresentar a Comissão de Avaliação de Imóveis – ITBI, Laudo de Avaliação realizado por profissional responsável técnico, a Comissão terá o prazo de até 10 (dez) dias para realizar vistoria </w:t>
      </w:r>
      <w:r w:rsidRPr="00490544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in loco</w:t>
      </w:r>
      <w:r w:rsidRPr="004905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imóvel objeto da transmissão e emitir Laudo de Avaliação Final, o qual será utilizado como base de cálculo. 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lang w:eastAsia="pt-BR"/>
        </w:rPr>
        <w:t>Art. 6º</w:t>
      </w: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 xml:space="preserve"> Esta Lei entra em vigor na data de sua publicação, tendo a sua aplicabilidade a partir de 1º de janeiro de 2022.</w:t>
      </w: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lang w:eastAsia="pt-BR"/>
        </w:rPr>
        <w:t>Art. 7º</w:t>
      </w: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 xml:space="preserve"> Ficam revogadas todas as disposições em contrário.</w:t>
      </w:r>
    </w:p>
    <w:p w:rsidR="00490544" w:rsidRPr="00490544" w:rsidRDefault="00490544" w:rsidP="0049054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>Palácio dos Pioneiros, Gabinete do Prefeito Municipal, Nova Xavantina - MT, 21 de dezembro de 2021.</w:t>
      </w: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João Machado Neto </w:t>
      </w: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>– João Bang</w:t>
      </w: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tabs>
          <w:tab w:val="left" w:pos="11040"/>
        </w:tabs>
        <w:spacing w:after="0" w:line="240" w:lineRule="auto"/>
        <w:jc w:val="center"/>
        <w:outlineLvl w:val="8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lang w:eastAsia="pt-BR"/>
        </w:rPr>
        <w:t>ANEXO – I</w:t>
      </w: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lastRenderedPageBreak/>
        <w:t>TABELA DE COBRANÇA DE ITBI – 2022</w:t>
      </w: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</w:p>
    <w:p w:rsidR="00490544" w:rsidRPr="00490544" w:rsidRDefault="00490544" w:rsidP="00490544">
      <w:pPr>
        <w:spacing w:after="0" w:line="240" w:lineRule="auto"/>
        <w:ind w:right="566"/>
        <w:jc w:val="both"/>
        <w:rPr>
          <w:rFonts w:ascii="Calibri" w:eastAsia="Times New Roman" w:hAnsi="Calibri" w:cs="Calibri"/>
          <w:strike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>Atualização da Planta Genérica de Valores para Cobrança do ITBI Rural para o exercício de 2022, aplicando recomposição de 70,00% sobre o valor base, relativo à defasagem acumulada.</w:t>
      </w:r>
    </w:p>
    <w:p w:rsidR="00490544" w:rsidRPr="00490544" w:rsidRDefault="00490544" w:rsidP="0049054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tbl>
      <w:tblPr>
        <w:tblW w:w="11014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49"/>
        <w:gridCol w:w="651"/>
        <w:gridCol w:w="2102"/>
        <w:gridCol w:w="757"/>
        <w:gridCol w:w="434"/>
        <w:gridCol w:w="67"/>
        <w:gridCol w:w="651"/>
        <w:gridCol w:w="406"/>
        <w:gridCol w:w="59"/>
        <w:gridCol w:w="651"/>
        <w:gridCol w:w="424"/>
        <w:gridCol w:w="59"/>
        <w:gridCol w:w="651"/>
        <w:gridCol w:w="350"/>
        <w:gridCol w:w="77"/>
        <w:gridCol w:w="574"/>
        <w:gridCol w:w="605"/>
        <w:gridCol w:w="11"/>
        <w:gridCol w:w="651"/>
        <w:gridCol w:w="483"/>
        <w:gridCol w:w="77"/>
        <w:gridCol w:w="574"/>
      </w:tblGrid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CARACTERÍSTICAS DO SOLO</w:t>
            </w:r>
          </w:p>
        </w:tc>
        <w:tc>
          <w:tcPr>
            <w:tcW w:w="6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REGIÕES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1.0.0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Áreas com Cobertura Natural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1.0.1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Cerrado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13.839,19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10.379,40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8.648,04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7.784,50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5.189,66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3.113,79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1.0.2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Várzeas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13.839,19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10.378,47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7.611,51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7.784,50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5.189,66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3.113,79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1.0.3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Morros e Pedregulhos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11.071,35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7.611,51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6.920,05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6.227,63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3.829,16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2.593,28</w:t>
            </w:r>
          </w:p>
        </w:tc>
      </w:tr>
      <w:tr w:rsidR="00490544" w:rsidRPr="00490544" w:rsidTr="00AF21F9">
        <w:trPr>
          <w:gridAfter w:val="1"/>
          <w:wAfter w:w="574" w:type="dxa"/>
          <w:trHeight w:val="5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2.2.0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Mecanizados para Lavoura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2.2.1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Solo não corrigido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17.298,98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15.569,06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13.839,19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12.109,25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7.611,51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4.151,72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2.2.2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Solo parcialmente corrigido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20.733,15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19.028,88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15.569,08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13.839,19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9.341,41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6.573,59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2.2.3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Solo totalmente corrigido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24.218,57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20.758,78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17.298,98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15.569,08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12.276,69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10.379,40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2.3.0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Mecanizados Ocupados com: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2.3.1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Pastagem Artificial sem correção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20.758,78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15.569,08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10.380,57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10.356,09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6.919,56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4.151,72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2.3.2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Pastagem Artificial com correção 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24.192,90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17.298,98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12.276,69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12.276,69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7.611,51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6.919,56</w:t>
            </w:r>
          </w:p>
        </w:tc>
      </w:tr>
      <w:tr w:rsidR="00490544" w:rsidRPr="00490544" w:rsidTr="00AF21F9">
        <w:trPr>
          <w:gridAfter w:val="1"/>
          <w:wAfter w:w="574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2.3.3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Pastagem Artificial degradada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17.298,98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13.839,19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9.341,40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10.033,37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5.881,63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shd w:val="clear" w:color="auto" w:fill="F2F4F6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2F4F6"/>
                <w:lang w:eastAsia="pt-BR"/>
              </w:rPr>
              <w:t>3.632,73</w:t>
            </w:r>
          </w:p>
        </w:tc>
      </w:tr>
      <w:tr w:rsidR="00490544" w:rsidRPr="00490544" w:rsidTr="00AF21F9">
        <w:trPr>
          <w:gridBefore w:val="1"/>
          <w:wBefore w:w="651" w:type="dxa"/>
          <w:trHeight w:val="375"/>
        </w:trPr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  <w:gridSpan w:val="3"/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116" w:type="dxa"/>
            <w:gridSpan w:val="3"/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001" w:type="dxa"/>
            <w:gridSpan w:val="3"/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267" w:type="dxa"/>
            <w:gridSpan w:val="3"/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4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REGIÕES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Imóveis Localizados na Margem do Rio das Mortes no Raio de até 10 Km da Sede do Município</w:t>
            </w: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Imóveis Localizados no Raio de 20 Km da Sede do Município</w:t>
            </w: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9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Serra Azul e Vale da Serra Azul</w:t>
            </w: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9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Pontal do Pindaíba</w:t>
            </w: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9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Noidori</w:t>
            </w:r>
            <w:proofErr w:type="spellEnd"/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, Areões, Jaraguá, Córrego Seco e Voadeira</w:t>
            </w:r>
          </w:p>
        </w:tc>
      </w:tr>
      <w:tr w:rsidR="00490544" w:rsidRPr="00490544" w:rsidTr="00AF21F9">
        <w:trPr>
          <w:gridAfter w:val="2"/>
          <w:wAfter w:w="651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9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44" w:rsidRPr="00490544" w:rsidRDefault="00490544" w:rsidP="004905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Rancho Amigo, Safra, Ilha do Coco, Piaus e Gleba Cavalcante, Santa Célia e Santa Cruz</w:t>
            </w:r>
          </w:p>
        </w:tc>
      </w:tr>
    </w:tbl>
    <w:p w:rsidR="00490544" w:rsidRPr="00490544" w:rsidRDefault="00490544" w:rsidP="0049054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</w:tblGrid>
      <w:tr w:rsidR="00490544" w:rsidRPr="00490544" w:rsidTr="00AF21F9">
        <w:tc>
          <w:tcPr>
            <w:tcW w:w="4928" w:type="dxa"/>
            <w:gridSpan w:val="2"/>
            <w:shd w:val="clear" w:color="auto" w:fill="BFBFBF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  <w:lang w:eastAsia="pt-BR"/>
              </w:rPr>
              <w:t>FATOR DE CORREÇÃO / ÁREA DE PASTAGEM</w:t>
            </w:r>
          </w:p>
        </w:tc>
      </w:tr>
      <w:tr w:rsidR="00490544" w:rsidRPr="00490544" w:rsidTr="00AF21F9">
        <w:tc>
          <w:tcPr>
            <w:tcW w:w="2376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lastRenderedPageBreak/>
              <w:t>CARACTERÍSTICAS DO SOLO</w:t>
            </w:r>
          </w:p>
        </w:tc>
        <w:tc>
          <w:tcPr>
            <w:tcW w:w="2552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FATOR</w:t>
            </w:r>
          </w:p>
        </w:tc>
      </w:tr>
      <w:tr w:rsidR="00490544" w:rsidRPr="00490544" w:rsidTr="00AF21F9">
        <w:tc>
          <w:tcPr>
            <w:tcW w:w="2376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NORMAL</w:t>
            </w:r>
          </w:p>
        </w:tc>
        <w:tc>
          <w:tcPr>
            <w:tcW w:w="2552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1,00</w:t>
            </w:r>
          </w:p>
        </w:tc>
      </w:tr>
      <w:tr w:rsidR="00490544" w:rsidRPr="00490544" w:rsidTr="00AF21F9">
        <w:tc>
          <w:tcPr>
            <w:tcW w:w="2376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CASCALHO</w:t>
            </w:r>
          </w:p>
        </w:tc>
        <w:tc>
          <w:tcPr>
            <w:tcW w:w="2552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0,8</w:t>
            </w:r>
          </w:p>
        </w:tc>
      </w:tr>
      <w:tr w:rsidR="00490544" w:rsidRPr="00490544" w:rsidTr="00AF21F9">
        <w:tc>
          <w:tcPr>
            <w:tcW w:w="2376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ARENOSO</w:t>
            </w:r>
          </w:p>
        </w:tc>
        <w:tc>
          <w:tcPr>
            <w:tcW w:w="2552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0,7</w:t>
            </w:r>
          </w:p>
        </w:tc>
      </w:tr>
      <w:tr w:rsidR="00490544" w:rsidRPr="00490544" w:rsidTr="00AF21F9">
        <w:tc>
          <w:tcPr>
            <w:tcW w:w="2376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ALAGADIÇO</w:t>
            </w:r>
          </w:p>
        </w:tc>
        <w:tc>
          <w:tcPr>
            <w:tcW w:w="2552" w:type="dxa"/>
            <w:shd w:val="clear" w:color="auto" w:fill="auto"/>
          </w:tcPr>
          <w:p w:rsidR="00490544" w:rsidRPr="00490544" w:rsidRDefault="00490544" w:rsidP="00490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9054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0,5</w:t>
            </w:r>
          </w:p>
        </w:tc>
      </w:tr>
    </w:tbl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b/>
          <w:sz w:val="24"/>
          <w:szCs w:val="24"/>
          <w:lang w:eastAsia="pt-BR"/>
        </w:rPr>
        <w:t>João Machado Neto</w:t>
      </w: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 xml:space="preserve"> – João Bang</w:t>
      </w: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490544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90544" w:rsidRPr="00490544" w:rsidRDefault="00490544" w:rsidP="00490544">
      <w:pPr>
        <w:spacing w:after="0" w:line="240" w:lineRule="auto"/>
        <w:ind w:left="4253"/>
        <w:rPr>
          <w:rFonts w:ascii="Calibri" w:eastAsia="Times New Roman" w:hAnsi="Calibri" w:cs="Calibri"/>
          <w:i/>
          <w:sz w:val="24"/>
          <w:szCs w:val="24"/>
          <w:lang w:eastAsia="pt-BR"/>
        </w:rPr>
      </w:pPr>
    </w:p>
    <w:p w:rsidR="003B150D" w:rsidRDefault="003B150D">
      <w:bookmarkStart w:id="0" w:name="_GoBack"/>
      <w:bookmarkEnd w:id="0"/>
    </w:p>
    <w:sectPr w:rsidR="003B150D" w:rsidSect="00182FD4">
      <w:headerReference w:type="default" r:id="rId4"/>
      <w:footerReference w:type="default" r:id="rId5"/>
      <w:pgSz w:w="11907" w:h="16840" w:code="9"/>
      <w:pgMar w:top="851" w:right="56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15" w:rsidRDefault="00490544" w:rsidP="001D6B2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D6B20" w:rsidRPr="000019AB" w:rsidRDefault="00490544" w:rsidP="001D6B20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1D6B20" w:rsidRPr="001D6B20" w:rsidRDefault="00490544" w:rsidP="001D6B20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  <w:p w:rsidR="004F1177" w:rsidRDefault="0049054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B20" w:rsidRDefault="00490544" w:rsidP="001D6B20">
    <w:pPr>
      <w:pStyle w:val="Cabealho"/>
      <w:jc w:val="center"/>
    </w:pPr>
    <w:r>
      <w:rPr>
        <w:b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-148590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:rsidR="001D6B20" w:rsidRDefault="00490544" w:rsidP="001D6B20">
    <w:pPr>
      <w:pStyle w:val="Cabealho"/>
      <w:jc w:val="center"/>
    </w:pPr>
  </w:p>
  <w:p w:rsidR="001D6B20" w:rsidRDefault="00490544" w:rsidP="001D6B20">
    <w:pPr>
      <w:pStyle w:val="Cabealho"/>
      <w:jc w:val="center"/>
    </w:pPr>
  </w:p>
  <w:p w:rsidR="001D6B20" w:rsidRDefault="00490544" w:rsidP="001D6B20">
    <w:pPr>
      <w:pStyle w:val="Cabealho"/>
      <w:jc w:val="center"/>
      <w:rPr>
        <w:rFonts w:ascii="Calibri" w:hAnsi="Calibri" w:cs="Calibri"/>
        <w:b/>
      </w:rPr>
    </w:pPr>
  </w:p>
  <w:p w:rsidR="001D6B20" w:rsidRPr="00AF595F" w:rsidRDefault="00490544" w:rsidP="001D6B20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1D6B20" w:rsidRPr="00AF595F" w:rsidRDefault="00490544" w:rsidP="001D6B20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3A702A" w:rsidRPr="001D6B20" w:rsidRDefault="00490544" w:rsidP="003A702A">
    <w:pPr>
      <w:pStyle w:val="Cabealho"/>
      <w:pBdr>
        <w:bottom w:val="double" w:sz="6" w:space="1" w:color="auto"/>
      </w:pBd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44"/>
    <w:rsid w:val="003B150D"/>
    <w:rsid w:val="0049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1F9C9-7416-44DC-9FF2-4C334E6A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90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0544"/>
  </w:style>
  <w:style w:type="character" w:styleId="Hyperlink">
    <w:name w:val="Hyperlink"/>
    <w:rsid w:val="0049054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9054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9054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2022-05-12T15:45:00Z</dcterms:created>
  <dcterms:modified xsi:type="dcterms:W3CDTF">2022-05-12T15:46:00Z</dcterms:modified>
</cp:coreProperties>
</file>