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3EC" w:rsidRPr="009563FB" w:rsidRDefault="007873EC" w:rsidP="007873EC">
      <w:pPr>
        <w:spacing w:after="0" w:line="240" w:lineRule="auto"/>
        <w:jc w:val="center"/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</w:pPr>
      <w:r w:rsidRPr="009563FB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 xml:space="preserve">LEI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 xml:space="preserve">MUNICIPAL </w:t>
      </w:r>
      <w:proofErr w:type="gramStart"/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>N.º</w:t>
      </w:r>
      <w:proofErr w:type="gramEnd"/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 xml:space="preserve"> 2.311, DE 22 DE SETEMBRO DE 2</w:t>
      </w:r>
      <w:r w:rsidRPr="009563FB">
        <w:rPr>
          <w:rFonts w:ascii="Century Gothic" w:eastAsia="Times New Roman" w:hAnsi="Century Gothic" w:cs="Arial"/>
          <w:b/>
          <w:bCs/>
          <w:color w:val="000000"/>
          <w:sz w:val="24"/>
          <w:szCs w:val="24"/>
          <w:u w:val="single"/>
          <w:lang w:eastAsia="pt-BR"/>
        </w:rPr>
        <w:t>021</w:t>
      </w:r>
    </w:p>
    <w:p w:rsidR="007873EC" w:rsidRPr="00DD6041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DD6041" w:rsidRDefault="007873EC" w:rsidP="007873EC">
      <w:pPr>
        <w:spacing w:after="0" w:line="240" w:lineRule="auto"/>
        <w:ind w:left="3544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Autoriza abertura de crédito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adiciona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is suplementar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dentro do orçamento vigente e dá outras providências.</w:t>
      </w:r>
    </w:p>
    <w:p w:rsidR="007873EC" w:rsidRPr="00DD6041" w:rsidRDefault="007873EC" w:rsidP="007873EC">
      <w:pPr>
        <w:ind w:left="3544"/>
        <w:jc w:val="both"/>
        <w:rPr>
          <w:rFonts w:ascii="Century Gothic" w:hAnsi="Century Gothic"/>
          <w:sz w:val="24"/>
          <w:szCs w:val="24"/>
        </w:rPr>
      </w:pPr>
    </w:p>
    <w:p w:rsidR="007873EC" w:rsidRPr="00DD6041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 Prefeito Municipal de Nova Xavantina, Estado de Mato Grosso, Senhor 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João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Machado Neto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, no uso das atribuições constitucionais de seu cargo, propõe o seguinte Projeto de Lei:</w:t>
      </w:r>
    </w:p>
    <w:p w:rsidR="007873EC" w:rsidRPr="00DD6041" w:rsidRDefault="007873EC" w:rsidP="007873EC">
      <w:pPr>
        <w:jc w:val="both"/>
        <w:rPr>
          <w:rFonts w:ascii="Century Gothic" w:hAnsi="Century Gothic"/>
          <w:sz w:val="24"/>
          <w:szCs w:val="24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1º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 Fica o Poder Executivo autorizado a abrir crédito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adiciona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is suplementar no orçamento do ano de 2.021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, em conf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ormidade ao disposto no inciso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I, do artigo 41 da Lei Federal nº 4.320 de 17 de março de 1.964,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com a finalidade de atualizar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dotações orçamentárias, no valor de 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1.862.661,55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(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um milhão, oitocentos e sessenta e dois mil, seiscentos e sessenta e um reais e </w:t>
      </w:r>
      <w:proofErr w:type="spell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cinqüenta</w:t>
      </w:r>
      <w:proofErr w:type="spellEnd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e cinco centavos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) destinado a custear despesas com a manutenção das ações relativas as Secretarias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Municipais de Esporte, Saúde e Infraestrutura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DD6041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2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º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 crédito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adicional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suplementar,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definido no artigo 1º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,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terá a seguinte classificação orçamentária: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06 — Secretaria Municipal de Esporte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06.001 — Divisão de Desporto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27 — Desporto e Lazer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27.811 — Desporto de Rendimento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27.811.0115 — Desporto e Lazer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27.811.0115.1076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Ampliação e Reforma do Estádio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4.4.90.51.00.00.00 — Obras e Instalações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Fonte 0.1.24.00.00.00 – transferências de convênios – outros (não relacionados a educação/saúde/assistência social) ........... R$ 240.000,00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Fonte 0.1.00.082000 – Transferências da união – Lei Complementar 176/2020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........................................................................................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30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.000,00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 — Secretaria Municipal de Saúde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07.001 — Divisão de Saúde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 — Saúde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10.301 — Atenção Básica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10.301.0116 — Atenção Básica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lastRenderedPageBreak/>
        <w:t>10.301.0116.1115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Sistema de Abastecimento de Água Nova Canaã do Leste - PA Safra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4.4.90.51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.00.00.00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Obras e Instalações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Fonte 0.1.23.000000 – </w:t>
      </w:r>
      <w:proofErr w:type="spell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Transferencias</w:t>
      </w:r>
      <w:proofErr w:type="spellEnd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convênios ou contratos de repasses – saúde .........................................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...............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..........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422.661,55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 — Secretaria Municipal de Infraestrutura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08.001 — Divisão de Estradas Vicinais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26 — Transporte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26.122 — Administração Geral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26.122.0122 — Infraestrutura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26.122.0122.2047 — Atividades de Manutenção da Sec. de </w:t>
      </w:r>
      <w:proofErr w:type="spellStart"/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Infra-Estrutura</w:t>
      </w:r>
      <w:proofErr w:type="spellEnd"/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3.3.90.30.00.00.00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— Material de Consumo 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Fonte 0.1.30.000000 – Recursos do fundo de transporte e habitação – FETHAB ......................................................................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.................... 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00.000,00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 — Secretaria Municipal de Infraestrutura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08.001 — Divisão de Estradas Vicinais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26 — Transporte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26.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78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2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Transporte Rodoviário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26.122.0122 — Infraestrutura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26.122.0122.2047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Patrolamento de estradas, construção e reforma de pontes e bueiros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4.4.90.51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.00.00.00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— Obras e Instalações 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Fonte 0.1.00.082000 – Transferências da união – Lei Complementar 176/2020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......................................................................................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270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.000,00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 — Secretaria Municipal de Infraestrutura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08.004 — Divisão de Eletricidade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25 — Energia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25.752 — Energia Elétrica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25.752.0123 — Serviços Urbanos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25.752.0123.2080 — Manutenção da Iluminação Pública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3.3.90.39.00.00.00 — Outros Serviços de Terceiros PJ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Fonte 0.1.17000000 – Contribuição para o custeio dos serviços e iluminação pública – COSIP ........................................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.............. R$ 700.000,00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lastRenderedPageBreak/>
        <w:t>Artigo 3</w:t>
      </w:r>
      <w:r w:rsidRPr="00486523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º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 O Crédito adicional suplementar</w:t>
      </w:r>
      <w:r w:rsidRPr="00486523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que tra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ta o artigo 1º será coberto utilizando recursos conforme descritos abaixo relativos ao artigo 43 da Lei 4.320/64, conforme descrito abaixo.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Inciso I – Superávit financeiro apurado em balanço patrimonial do exercício anterior.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Fonte 0.1.23.000000 – Transferências de convênios ou contratos de repasses – saúde ......................................................................... R$ 422.661,55 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Inciso II – Provenientes de excesso de arrecadação. 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Receita 1.7.1.8.99.1.1.99 – </w:t>
      </w:r>
      <w:proofErr w:type="gramStart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Outros transferências da união não especificadas</w:t>
      </w:r>
      <w:proofErr w:type="gramEnd"/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anteriormente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Fonte 0.1.00.082000 – Transferências da união – Lei Complementar 176/2020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...................................................................................... 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R$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300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.000,00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Default="007873EC" w:rsidP="007873EC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Inciso III -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ab/>
      </w:r>
      <w:r w:rsidRPr="00E37656">
        <w:rPr>
          <w:rFonts w:ascii="Century Gothic" w:hAnsi="Century Gothic" w:cs="Arial"/>
          <w:sz w:val="24"/>
          <w:szCs w:val="24"/>
        </w:rPr>
        <w:t>resultantes de anulação parcial ou total de dotações orçamentárias ou de créditos adicionais, autorizados em Lei</w:t>
      </w:r>
      <w:r>
        <w:rPr>
          <w:rFonts w:ascii="Century Gothic" w:hAnsi="Century Gothic" w:cs="Arial"/>
          <w:sz w:val="24"/>
          <w:szCs w:val="24"/>
        </w:rPr>
        <w:t>.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 — Secretaria Municipal de Infraestrutura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08.004 — Divisão de Eletricidade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25 — Energia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25.752 — Energia Elétrica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25.752.0123 — Serviços Urbanos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25.752.0123.2080 — Manutenção da Iluminação Pública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3.3.90.39.00.00.00 — Outros Serviços de Terceiros PJ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Fonte 0.1.00000000 – Recursos ordinários ..................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.............. R$ 700.000,00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 — Secretaria Municipal de Infraestrutura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08.002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Divisão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Obras e Vias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5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Urbanismo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15.451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Infraestrutura Urbana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15.451.0122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Infraestrutura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15.451.0122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2105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Georreferenciamento</w:t>
      </w: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3.3.90.39.00.00.00 — Outros Serviços de Terceiros PJ</w:t>
      </w:r>
    </w:p>
    <w:p w:rsidR="007873EC" w:rsidRPr="00B4462E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Fonte 0.1.90.000000 – Operações de créditos internas ......... R$ 44</w:t>
      </w:r>
      <w:r w:rsidRPr="00B4462E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0.000,00</w:t>
      </w:r>
    </w:p>
    <w:p w:rsidR="007873EC" w:rsidRPr="00E37656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</w:pPr>
    </w:p>
    <w:p w:rsidR="007873EC" w:rsidRPr="00F80D44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692BB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Artigo</w:t>
      </w:r>
      <w:r w:rsidRPr="00692BB1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 xml:space="preserve"> </w:t>
      </w:r>
      <w:r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4</w:t>
      </w:r>
      <w:r w:rsidRPr="00692BB1">
        <w:rPr>
          <w:rFonts w:ascii="Century Gothic" w:eastAsia="Times New Roman" w:hAnsi="Century Gothic" w:cs="Arial"/>
          <w:b/>
          <w:color w:val="000000"/>
          <w:sz w:val="24"/>
          <w:szCs w:val="24"/>
          <w:lang w:eastAsia="pt-BR"/>
        </w:rPr>
        <w:t>º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— Fica atualizado o Demonstrativo “Quadro de Detalhamento da Despesa” anexo da Lei nº 2.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249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8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dezembro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20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20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que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lastRenderedPageBreak/>
        <w:t>dispõe sobre o Orçamento para o exercício 202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atualizando 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elementos de despesa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s e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a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fonte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recurso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s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conforme acima relacionado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s, </w:t>
      </w:r>
      <w:r w:rsidRPr="00F80D44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bem como o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a Lei 2035/2017 - </w:t>
      </w:r>
      <w:r w:rsidRPr="00F80D44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Plano Plurianual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 </w:t>
      </w:r>
      <w:r w:rsidRPr="00F80D44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e a Lei </w:t>
      </w:r>
      <w:r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>2248/2020 -</w:t>
      </w:r>
      <w:r w:rsidRPr="00F80D44">
        <w:rPr>
          <w:rFonts w:ascii="Century Gothic" w:eastAsia="Times New Roman" w:hAnsi="Century Gothic" w:cs="Times New Roman"/>
          <w:color w:val="000000"/>
          <w:sz w:val="24"/>
          <w:szCs w:val="24"/>
          <w:lang w:eastAsia="pt-BR"/>
        </w:rPr>
        <w:t xml:space="preserve"> Diretrizes Orçamentárias de 2021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. </w:t>
      </w:r>
    </w:p>
    <w:p w:rsidR="007873EC" w:rsidRPr="00DD6041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Pr="00DD6041" w:rsidRDefault="007873EC" w:rsidP="007873EC">
      <w:pPr>
        <w:spacing w:after="0" w:line="240" w:lineRule="auto"/>
        <w:jc w:val="both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Artigo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5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º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—</w:t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Esta lei entrará em vigor na data de sua publicação.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  <w:t>  </w:t>
      </w:r>
    </w:p>
    <w:p w:rsidR="007873EC" w:rsidRDefault="007873EC" w:rsidP="007873EC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</w:p>
    <w:p w:rsidR="007873EC" w:rsidRDefault="007873EC" w:rsidP="007873EC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Nova Xavantina—MT,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22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 de 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 xml:space="preserve">setembro 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de 2.02</w:t>
      </w:r>
      <w:r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1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</w:p>
    <w:p w:rsidR="007873EC" w:rsidRPr="00DD6041" w:rsidRDefault="007873EC" w:rsidP="007873EC">
      <w:pPr>
        <w:spacing w:after="0" w:line="240" w:lineRule="auto"/>
        <w:jc w:val="center"/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</w:pP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t> 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  <w:r w:rsidRPr="00DD6041"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 xml:space="preserve">João </w:t>
      </w:r>
      <w:r>
        <w:rPr>
          <w:rFonts w:ascii="Century Gothic" w:eastAsia="Times New Roman" w:hAnsi="Century Gothic" w:cs="Arial"/>
          <w:b/>
          <w:bCs/>
          <w:color w:val="000000"/>
          <w:sz w:val="24"/>
          <w:szCs w:val="24"/>
          <w:lang w:eastAsia="pt-BR"/>
        </w:rPr>
        <w:t>Machado Neto</w:t>
      </w:r>
      <w:r w:rsidRPr="00DD6041">
        <w:rPr>
          <w:rFonts w:ascii="Century Gothic" w:eastAsia="Times New Roman" w:hAnsi="Century Gothic" w:cs="Arial"/>
          <w:color w:val="000000"/>
          <w:sz w:val="24"/>
          <w:szCs w:val="24"/>
          <w:lang w:eastAsia="pt-BR"/>
        </w:rPr>
        <w:br/>
      </w:r>
      <w:r w:rsidRPr="00505136">
        <w:rPr>
          <w:rFonts w:ascii="Century Gothic" w:eastAsia="Times New Roman" w:hAnsi="Century Gothic" w:cs="Arial"/>
          <w:bCs/>
          <w:color w:val="000000"/>
          <w:sz w:val="24"/>
          <w:szCs w:val="24"/>
          <w:lang w:eastAsia="pt-BR"/>
        </w:rPr>
        <w:t>Prefeito Municipal</w:t>
      </w:r>
    </w:p>
    <w:p w:rsidR="007873EC" w:rsidRPr="00DD6041" w:rsidRDefault="007873EC" w:rsidP="007873EC">
      <w:pPr>
        <w:rPr>
          <w:rFonts w:ascii="Century Gothic" w:hAnsi="Century Gothic"/>
          <w:sz w:val="24"/>
          <w:szCs w:val="24"/>
        </w:rPr>
      </w:pPr>
    </w:p>
    <w:p w:rsidR="00A9014A" w:rsidRDefault="00A9014A">
      <w:bookmarkStart w:id="0" w:name="_GoBack"/>
      <w:bookmarkEnd w:id="0"/>
    </w:p>
    <w:sectPr w:rsidR="00A9014A" w:rsidSect="002C223B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3FB" w:rsidRPr="009563FB" w:rsidRDefault="007873EC" w:rsidP="009563F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color w:val="000000"/>
        <w:sz w:val="28"/>
        <w:szCs w:val="20"/>
        <w:lang w:eastAsia="pt-BR"/>
      </w:rPr>
    </w:pPr>
    <w:r w:rsidRPr="009563FB">
      <w:rPr>
        <w:rFonts w:ascii="Arial" w:eastAsia="Times New Roman" w:hAnsi="Arial" w:cs="Times New Roman"/>
        <w:iCs/>
        <w:noProof/>
        <w:color w:val="000000"/>
        <w:sz w:val="28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964BF10" wp14:editId="2902D382">
          <wp:simplePos x="0" y="0"/>
          <wp:positionH relativeFrom="margin">
            <wp:posOffset>2234565</wp:posOffset>
          </wp:positionH>
          <wp:positionV relativeFrom="paragraph">
            <wp:posOffset>-259080</wp:posOffset>
          </wp:positionV>
          <wp:extent cx="851535" cy="788670"/>
          <wp:effectExtent l="0" t="0" r="5715" b="0"/>
          <wp:wrapSquare wrapText="bothSides"/>
          <wp:docPr id="1" name="Imagem 1" descr="http://site.pciconcursos.com.br/i/32f5b870af36636f0b188d243da67be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site.pciconcursos.com.br/i/32f5b870af36636f0b188d243da67b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788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563FB" w:rsidRPr="009563FB" w:rsidRDefault="007873EC" w:rsidP="009563FB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Times New Roman"/>
        <w:color w:val="000000"/>
        <w:sz w:val="28"/>
        <w:szCs w:val="20"/>
        <w:lang w:eastAsia="pt-BR"/>
      </w:rPr>
    </w:pPr>
  </w:p>
  <w:p w:rsidR="009563FB" w:rsidRDefault="007873EC" w:rsidP="009563F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pt-BR"/>
      </w:rPr>
    </w:pPr>
  </w:p>
  <w:p w:rsidR="009563FB" w:rsidRPr="009563FB" w:rsidRDefault="007873EC" w:rsidP="009563F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pt-BR"/>
      </w:rPr>
    </w:pPr>
    <w:r w:rsidRPr="009563FB">
      <w:rPr>
        <w:rFonts w:ascii="Times New Roman" w:eastAsia="Times New Roman" w:hAnsi="Times New Roman" w:cs="Times New Roman"/>
        <w:b/>
        <w:color w:val="000000"/>
        <w:sz w:val="28"/>
        <w:szCs w:val="20"/>
        <w:lang w:eastAsia="pt-BR"/>
      </w:rPr>
      <w:t>ESTADO DE MATO GROSSO</w:t>
    </w:r>
  </w:p>
  <w:p w:rsidR="009563FB" w:rsidRPr="009563FB" w:rsidRDefault="007873EC" w:rsidP="009563F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pt-BR"/>
      </w:rPr>
    </w:pPr>
    <w:r w:rsidRPr="009563FB">
      <w:rPr>
        <w:rFonts w:ascii="Times New Roman" w:eastAsia="Times New Roman" w:hAnsi="Times New Roman" w:cs="Times New Roman"/>
        <w:b/>
        <w:color w:val="000000"/>
        <w:sz w:val="28"/>
        <w:szCs w:val="20"/>
        <w:lang w:eastAsia="pt-BR"/>
      </w:rPr>
      <w:t xml:space="preserve">PREFEITURA </w:t>
    </w:r>
    <w:r w:rsidRPr="009563FB">
      <w:rPr>
        <w:rFonts w:ascii="Times New Roman" w:eastAsia="Times New Roman" w:hAnsi="Times New Roman" w:cs="Times New Roman"/>
        <w:b/>
        <w:color w:val="000000"/>
        <w:sz w:val="28"/>
        <w:szCs w:val="20"/>
        <w:lang w:eastAsia="pt-BR"/>
      </w:rPr>
      <w:t>MUNICIPAL DE NOVA XAVANTINA</w:t>
    </w:r>
  </w:p>
  <w:p w:rsidR="009563FB" w:rsidRPr="009563FB" w:rsidRDefault="007873EC" w:rsidP="009563FB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18"/>
        <w:szCs w:val="18"/>
        <w:lang w:eastAsia="pt-BR"/>
      </w:rPr>
    </w:pPr>
    <w:r w:rsidRPr="009563FB">
      <w:rPr>
        <w:rFonts w:ascii="Times New Roman" w:eastAsia="Times New Roman" w:hAnsi="Times New Roman" w:cs="Times New Roman"/>
        <w:b/>
        <w:color w:val="000000"/>
        <w:sz w:val="18"/>
        <w:szCs w:val="18"/>
        <w:lang w:eastAsia="pt-BR"/>
      </w:rPr>
      <w:t xml:space="preserve">Avenida Expedição Roncador Xingu, </w:t>
    </w:r>
    <w:proofErr w:type="gramStart"/>
    <w:r w:rsidRPr="009563FB">
      <w:rPr>
        <w:rFonts w:ascii="Times New Roman" w:eastAsia="Times New Roman" w:hAnsi="Times New Roman" w:cs="Times New Roman"/>
        <w:b/>
        <w:color w:val="000000"/>
        <w:sz w:val="18"/>
        <w:szCs w:val="18"/>
        <w:lang w:eastAsia="pt-BR"/>
      </w:rPr>
      <w:t>n.º</w:t>
    </w:r>
    <w:proofErr w:type="gramEnd"/>
    <w:r w:rsidRPr="009563FB">
      <w:rPr>
        <w:rFonts w:ascii="Times New Roman" w:eastAsia="Times New Roman" w:hAnsi="Times New Roman" w:cs="Times New Roman"/>
        <w:b/>
        <w:color w:val="000000"/>
        <w:sz w:val="18"/>
        <w:szCs w:val="18"/>
        <w:lang w:eastAsia="pt-BR"/>
      </w:rPr>
      <w:t xml:space="preserve"> 249 – Centro – Nova Xavantina – MT – CEP 78.690-000</w:t>
    </w:r>
  </w:p>
  <w:p w:rsidR="009563FB" w:rsidRPr="009563FB" w:rsidRDefault="007873EC" w:rsidP="009563FB">
    <w:pPr>
      <w:pBdr>
        <w:bottom w:val="double" w:sz="6" w:space="1" w:color="auto"/>
      </w:pBd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0"/>
        <w:lang w:eastAsia="pt-BR"/>
      </w:rPr>
    </w:pPr>
    <w:r w:rsidRPr="009563FB">
      <w:rPr>
        <w:rFonts w:ascii="Times New Roman" w:eastAsia="Times New Roman" w:hAnsi="Times New Roman" w:cs="Times New Roman"/>
        <w:b/>
        <w:color w:val="000000"/>
        <w:sz w:val="28"/>
        <w:szCs w:val="20"/>
        <w:lang w:eastAsia="pt-BR"/>
      </w:rPr>
      <w:t xml:space="preserve"> </w:t>
    </w:r>
  </w:p>
  <w:p w:rsidR="009563FB" w:rsidRDefault="007873E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3EC"/>
    <w:rsid w:val="007873EC"/>
    <w:rsid w:val="00A9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F8E3-6098-4226-90E2-6A33299E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3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87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2022-05-12T17:00:00Z</dcterms:created>
  <dcterms:modified xsi:type="dcterms:W3CDTF">2022-05-12T17:01:00Z</dcterms:modified>
</cp:coreProperties>
</file>