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07" w:rsidRDefault="00EC2607" w:rsidP="00EC2607">
      <w:pPr>
        <w:pStyle w:val="Cabealho"/>
        <w:tabs>
          <w:tab w:val="left" w:pos="708"/>
        </w:tabs>
        <w:jc w:val="center"/>
        <w:rPr>
          <w:b/>
          <w:color w:val="000000"/>
          <w:u w:val="single"/>
        </w:rPr>
      </w:pPr>
    </w:p>
    <w:p w:rsidR="00EC2607" w:rsidRDefault="00EC2607" w:rsidP="00EC2607">
      <w:pPr>
        <w:pStyle w:val="Cabealho"/>
        <w:tabs>
          <w:tab w:val="left" w:pos="708"/>
        </w:tabs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LEI MUNICIPAL N.º 2.146, DE 31 DE MAIO DE 2019.</w:t>
      </w:r>
    </w:p>
    <w:p w:rsidR="00EC2607" w:rsidRDefault="00EC2607" w:rsidP="00EC2607">
      <w:pPr>
        <w:pStyle w:val="Cabealho"/>
        <w:tabs>
          <w:tab w:val="left" w:pos="708"/>
        </w:tabs>
        <w:jc w:val="center"/>
        <w:rPr>
          <w:b/>
          <w:color w:val="000000"/>
          <w:sz w:val="22"/>
          <w:szCs w:val="22"/>
        </w:rPr>
      </w:pPr>
    </w:p>
    <w:p w:rsidR="00EC2607" w:rsidRDefault="00EC2607" w:rsidP="00EC2607">
      <w:pPr>
        <w:pStyle w:val="Recuodecorpodetexto"/>
        <w:ind w:left="708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b w:val="0"/>
          <w:i/>
          <w:sz w:val="22"/>
          <w:szCs w:val="22"/>
        </w:rPr>
        <w:t>Dispõe sobre valor do aporte para financiamento do Plano de Amortização para equacionamento do déficit atuarial e dá outras providências.</w:t>
      </w:r>
    </w:p>
    <w:p w:rsidR="00EC2607" w:rsidRDefault="00EC2607" w:rsidP="00EC2607">
      <w:pPr>
        <w:pStyle w:val="Recuodecorpodetexto"/>
        <w:ind w:left="0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EC2607" w:rsidRDefault="00EC2607" w:rsidP="00EC26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 xml:space="preserve">Prefeito do Município de </w:t>
      </w:r>
      <w:r>
        <w:rPr>
          <w:rFonts w:ascii="Times New Roman" w:hAnsi="Times New Roman" w:cs="Times New Roman"/>
          <w:b/>
          <w:noProof/>
        </w:rPr>
        <w:t>Nova Xavantina</w:t>
      </w:r>
      <w:r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  <w:noProof/>
        </w:rPr>
        <w:t>MT</w:t>
      </w:r>
      <w:r>
        <w:rPr>
          <w:rFonts w:ascii="Times New Roman" w:hAnsi="Times New Roman" w:cs="Times New Roman"/>
        </w:rPr>
        <w:t xml:space="preserve">, Estado de Mato Grosso, faz saber que a Câmara Municipal aprovou e ele sanciona a seguinte Lei.  </w:t>
      </w:r>
    </w:p>
    <w:p w:rsidR="00EC2607" w:rsidRDefault="00EC2607" w:rsidP="00EC2607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</w:p>
    <w:p w:rsidR="00EC2607" w:rsidRDefault="00EC2607" w:rsidP="00EC2607">
      <w:pPr>
        <w:pStyle w:val="Cabealho"/>
        <w:tabs>
          <w:tab w:val="left" w:pos="708"/>
        </w:tabs>
        <w:ind w:firstLine="708"/>
        <w:jc w:val="both"/>
        <w:rPr>
          <w:noProof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Art. 1º </w:t>
      </w:r>
      <w:r>
        <w:rPr>
          <w:color w:val="000000"/>
          <w:sz w:val="22"/>
          <w:szCs w:val="22"/>
        </w:rPr>
        <w:t xml:space="preserve">Fica estabelecida a revisão do Plano de Amortização para equacionamento de déficit atuarial, conforme indicado na Reavaliação Atuarial do exercício de 2018, o valor do passivo atuarial do Município de </w:t>
      </w:r>
      <w:r>
        <w:rPr>
          <w:noProof/>
          <w:color w:val="000000"/>
          <w:sz w:val="22"/>
          <w:szCs w:val="22"/>
        </w:rPr>
        <w:t>Nova Xavantina</w:t>
      </w:r>
      <w:r>
        <w:rPr>
          <w:color w:val="000000"/>
          <w:sz w:val="22"/>
          <w:szCs w:val="22"/>
        </w:rPr>
        <w:t>/</w:t>
      </w:r>
      <w:r>
        <w:rPr>
          <w:noProof/>
          <w:color w:val="000000"/>
          <w:sz w:val="22"/>
          <w:szCs w:val="22"/>
        </w:rPr>
        <w:t>MT</w:t>
      </w:r>
      <w:r>
        <w:rPr>
          <w:color w:val="000000"/>
          <w:sz w:val="22"/>
          <w:szCs w:val="22"/>
        </w:rPr>
        <w:t xml:space="preserve"> é de R$ </w:t>
      </w:r>
      <w:r>
        <w:rPr>
          <w:sz w:val="22"/>
          <w:szCs w:val="22"/>
        </w:rPr>
        <w:t>72.488.834,28</w:t>
      </w:r>
      <w:r>
        <w:rPr>
          <w:bCs/>
          <w:spacing w:val="1"/>
          <w:sz w:val="22"/>
          <w:szCs w:val="22"/>
        </w:rPr>
        <w:t xml:space="preserve"> (setenta e dois milhões quatrocentos e oitenta e oito mil oitocentos e trinta e quatro reais e vinte e oito centavos</w:t>
      </w:r>
      <w:r>
        <w:rPr>
          <w:bCs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que será amortizado no </w:t>
      </w:r>
      <w:r>
        <w:rPr>
          <w:noProof/>
          <w:color w:val="000000"/>
          <w:sz w:val="22"/>
          <w:szCs w:val="22"/>
        </w:rPr>
        <w:t xml:space="preserve">curso de até 27 anos a uma taxa suplementar inicial de </w:t>
      </w:r>
      <w:r>
        <w:rPr>
          <w:sz w:val="22"/>
          <w:szCs w:val="22"/>
        </w:rPr>
        <w:t>9,56%</w:t>
      </w:r>
      <w:r>
        <w:rPr>
          <w:noProof/>
          <w:color w:val="000000"/>
          <w:sz w:val="22"/>
          <w:szCs w:val="22"/>
        </w:rPr>
        <w:t xml:space="preserve"> (nove vírgula cinquenta e seis por cento)</w:t>
      </w:r>
      <w:r>
        <w:rPr>
          <w:bCs/>
          <w:spacing w:val="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no ano de 2019, a um aporte financeiro mensal que deverá ser amortizado de acordo com a tabela abaixo:</w:t>
      </w:r>
    </w:p>
    <w:p w:rsidR="00EC2607" w:rsidRDefault="00EC2607" w:rsidP="00EC2607">
      <w:pPr>
        <w:pStyle w:val="Cabealho"/>
        <w:tabs>
          <w:tab w:val="left" w:pos="708"/>
        </w:tabs>
        <w:ind w:firstLine="708"/>
        <w:jc w:val="both"/>
        <w:rPr>
          <w:noProof/>
          <w:color w:val="000000"/>
          <w:sz w:val="22"/>
          <w:szCs w:val="22"/>
        </w:rPr>
      </w:pPr>
    </w:p>
    <w:p w:rsidR="00EC2607" w:rsidRDefault="00EC2607" w:rsidP="00EC2607">
      <w:pPr>
        <w:spacing w:after="0"/>
        <w:ind w:left="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Tabela de Financiamento do Déficit Atuarial</w:t>
      </w:r>
    </w:p>
    <w:tbl>
      <w:tblPr>
        <w:tblStyle w:val="TableGrid"/>
        <w:tblW w:w="9600" w:type="dxa"/>
        <w:tblInd w:w="-3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44"/>
        <w:gridCol w:w="564"/>
        <w:gridCol w:w="1411"/>
        <w:gridCol w:w="1491"/>
        <w:gridCol w:w="1362"/>
        <w:gridCol w:w="1612"/>
        <w:gridCol w:w="1021"/>
        <w:gridCol w:w="1395"/>
      </w:tblGrid>
      <w:tr w:rsidR="00EC2607" w:rsidTr="00EC2607">
        <w:trPr>
          <w:trHeight w:val="463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  <w:vAlign w:val="center"/>
            <w:hideMark/>
          </w:tcPr>
          <w:p w:rsidR="00EC2607" w:rsidRDefault="00EC2607">
            <w:pPr>
              <w:spacing w:after="0" w:line="240" w:lineRule="auto"/>
              <w:ind w:left="-5" w:right="-1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PERIODO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7ED"/>
            <w:vAlign w:val="bottom"/>
            <w:hideMark/>
          </w:tcPr>
          <w:p w:rsidR="00EC2607" w:rsidRDefault="00EC2607">
            <w:pPr>
              <w:spacing w:after="0" w:line="240" w:lineRule="auto"/>
              <w:ind w:left="1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ANO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  <w:vAlign w:val="center"/>
            <w:hideMark/>
          </w:tcPr>
          <w:p w:rsidR="00EC2607" w:rsidRDefault="00EC2607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SALDO DEVEDOR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7ED"/>
            <w:vAlign w:val="bottom"/>
            <w:hideMark/>
          </w:tcPr>
          <w:p w:rsidR="00EC2607" w:rsidRDefault="00EC2607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AMORTIZAÇÃO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7ED"/>
            <w:vAlign w:val="bottom"/>
            <w:hideMark/>
          </w:tcPr>
          <w:p w:rsidR="00EC2607" w:rsidRDefault="00EC2607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JUROS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7ED"/>
            <w:vAlign w:val="bottom"/>
            <w:hideMark/>
          </w:tcPr>
          <w:p w:rsidR="00EC2607" w:rsidRDefault="00EC2607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PRESTAÇÃO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7ED"/>
            <w:vAlign w:val="bottom"/>
            <w:hideMark/>
          </w:tcPr>
          <w:p w:rsidR="00EC2607" w:rsidRDefault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C.S. *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7ED"/>
            <w:vAlign w:val="bottom"/>
            <w:hideMark/>
          </w:tcPr>
          <w:p w:rsidR="00EC2607" w:rsidRDefault="00EC2607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FOLHA SALARIAL</w:t>
            </w:r>
          </w:p>
        </w:tc>
      </w:tr>
      <w:tr w:rsidR="00EC2607" w:rsidTr="00EC2607">
        <w:trPr>
          <w:trHeight w:val="307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</w:tcPr>
          <w:p w:rsidR="00EC2607" w:rsidRDefault="00EC26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69.995.971,82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  <w:vAlign w:val="center"/>
          </w:tcPr>
          <w:p w:rsidR="00EC2607" w:rsidRDefault="00EC26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</w:tcPr>
          <w:p w:rsidR="00EC2607" w:rsidRDefault="00EC26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</w:tcPr>
          <w:p w:rsidR="00EC2607" w:rsidRDefault="00EC26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</w:tcPr>
          <w:p w:rsidR="00EC2607" w:rsidRDefault="00EC26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D"/>
            <w:vAlign w:val="center"/>
          </w:tcPr>
          <w:p w:rsidR="00EC2607" w:rsidRDefault="00EC26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72.488.834,28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(2.492.862,46)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4.103.141,56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610.279,11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16.843.923,72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74.933.868,47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(2.445.034,20)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4.241.539,72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796.505,53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17.012.362,96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77.324.427,40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(2.390.558,93)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4.376.854,38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986.295,45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17.182.486,59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79.653.409,44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(2.328.982,03)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4.508.683,55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179.701,52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17.354.311,45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81.727.435,04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(2.074.025,60)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4.626.081,23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552.055,62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17.527.854,57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83.335.890,76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(1.608.455,72)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4.717.125,89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108.670,17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17.703.133,11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84.439.312,69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(1.103.421,93)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4.779.583,74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676.161,81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17.880.164,44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84.995.697,49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556.384,81)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4.811.077,22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254.692,41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18.058.966,09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proofErr w:type="gramEnd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84.960.347,78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3 5.349,72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4.809.076,29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844.426,01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18.239.555,75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84.285.708,11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6 74.639,67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4.770.889,14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445.528,81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18.421.951,31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82.921.191,22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364.516,89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4.693.652,33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058.169,22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18.606.170,82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80.812.993,73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108.197,49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4.574.320,40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682.517,89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18.792.232,53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77.823.424,93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989.568,81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4.405.099,52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394.668,33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18.980.154,85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74.576.098,51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247.326,42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4.221.288,59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468.615,01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19.169.956,40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71.054.765,18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521.333,32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4.021.967,84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543.301,16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19.361.655,97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67.242.192,87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812.572,32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3.806.161,86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618.734,18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19.555.272,53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63.120.107,63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122.085,24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3.572.836,28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694.921,52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19.750.825,25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58.669.131,11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450.976,52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3.320.894,21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771.870,73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19.948.333,50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53.868.714,17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800.416,94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3.049.172,50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849.589,44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20.147.816,84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48.697.066,57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171.647,60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2.756.437,73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928.085,33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20.349.295,01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2039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43.131.082,40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565.984,17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2.441.382,02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007.366,19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20.552.787,96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37.146.261,11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5 .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984.821,30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2.102.618,55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087.439,85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20.758.315,84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2041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30.716.623,67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429.637,44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1.738.676,81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168.314,25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20.965.898,99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2042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23.814.623,86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901.999,81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1.347.997,58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249.997,39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21.175.557,98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2043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16.411.054,08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403.569,78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928.927,59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332.497,36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21.387.313,56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2044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8.474.945,65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936.108,43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479.713,90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415.822,34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21.601.186,70</w:t>
            </w:r>
          </w:p>
        </w:tc>
      </w:tr>
      <w:tr w:rsidR="00EC2607" w:rsidTr="00EC2607">
        <w:trPr>
          <w:trHeight w:val="24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(26.537,01)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501.482,66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(1.502,09)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8 .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499.980,56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38,96%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C2607" w:rsidRDefault="00EC2607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21.817.198,57</w:t>
            </w:r>
          </w:p>
        </w:tc>
      </w:tr>
    </w:tbl>
    <w:p w:rsidR="00EC2607" w:rsidRDefault="00EC2607" w:rsidP="00EC2607">
      <w:pPr>
        <w:pStyle w:val="Cabealho"/>
        <w:tabs>
          <w:tab w:val="left" w:pos="708"/>
        </w:tabs>
        <w:ind w:firstLine="708"/>
        <w:jc w:val="both"/>
        <w:rPr>
          <w:noProof/>
          <w:color w:val="000000"/>
          <w:sz w:val="22"/>
          <w:szCs w:val="22"/>
        </w:rPr>
      </w:pPr>
    </w:p>
    <w:p w:rsidR="00EC2607" w:rsidRDefault="00EC2607" w:rsidP="00EC2607">
      <w:pPr>
        <w:pStyle w:val="Cabealho"/>
        <w:tabs>
          <w:tab w:val="left" w:pos="708"/>
        </w:tabs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>
        <w:rPr>
          <w:i/>
          <w:noProof/>
          <w:sz w:val="22"/>
          <w:szCs w:val="22"/>
        </w:rPr>
        <w:t>Parágrafo único</w:t>
      </w:r>
      <w:r>
        <w:rPr>
          <w:noProof/>
          <w:sz w:val="22"/>
          <w:szCs w:val="22"/>
        </w:rPr>
        <w:t xml:space="preserve">. O valor do Aporte Financeiro no valor de R$ 134.189,93 (cento e trinta e quatro mil, cento e oitenta e nove reais e noventa e três centavos), que representa uma alíquota de </w:t>
      </w:r>
      <w:r>
        <w:rPr>
          <w:sz w:val="22"/>
          <w:szCs w:val="22"/>
        </w:rPr>
        <w:t>9,56%</w:t>
      </w:r>
      <w:r>
        <w:rPr>
          <w:noProof/>
          <w:sz w:val="22"/>
          <w:szCs w:val="22"/>
        </w:rPr>
        <w:t xml:space="preserve"> (nove vírgula cinquenta e seis por cento), referente ao valor da folha de </w:t>
      </w:r>
      <w:r>
        <w:rPr>
          <w:noProof/>
          <w:sz w:val="22"/>
          <w:szCs w:val="22"/>
        </w:rPr>
        <w:lastRenderedPageBreak/>
        <w:t>pagamento anual de 2019, as parcelas serão mensais fixas, que deverá ser implantada pelo Ente ainda no mês de maio de 2019.</w:t>
      </w:r>
    </w:p>
    <w:p w:rsidR="00EC2607" w:rsidRDefault="00EC2607" w:rsidP="00EC2607">
      <w:pPr>
        <w:pStyle w:val="Cabealho"/>
        <w:tabs>
          <w:tab w:val="left" w:pos="708"/>
        </w:tabs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 </w:t>
      </w:r>
    </w:p>
    <w:p w:rsidR="00EC2607" w:rsidRDefault="00EC2607" w:rsidP="00EC26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Art. 2°</w:t>
      </w:r>
      <w:r>
        <w:rPr>
          <w:rFonts w:ascii="Times New Roman" w:hAnsi="Times New Roman" w:cs="Times New Roman"/>
        </w:rPr>
        <w:t xml:space="preserve"> Esta Lei entra em vigor na data da sua publicação.</w:t>
      </w:r>
    </w:p>
    <w:p w:rsidR="00EC2607" w:rsidRDefault="00EC2607" w:rsidP="00EC26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C2607" w:rsidRDefault="00EC2607" w:rsidP="00EC26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 xml:space="preserve"> Revogam-se as disposições em contrário.</w:t>
      </w:r>
    </w:p>
    <w:p w:rsidR="00EC2607" w:rsidRDefault="00EC2607" w:rsidP="00EC2607">
      <w:pPr>
        <w:tabs>
          <w:tab w:val="left" w:pos="2520"/>
        </w:tabs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EC2607" w:rsidRDefault="00EC2607" w:rsidP="00EC2607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Palácio dos Pioneiros, Gabinete do Prefeito Municipal, Nova Xavantina – MT, 31 de maio de 2019</w:t>
      </w:r>
    </w:p>
    <w:p w:rsidR="00EC2607" w:rsidRDefault="00EC2607" w:rsidP="00EC2607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</w:p>
    <w:p w:rsidR="00EC2607" w:rsidRDefault="00EC2607" w:rsidP="00EC2607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</w:p>
    <w:p w:rsidR="00EC2607" w:rsidRDefault="00EC2607" w:rsidP="00EC2607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</w:p>
    <w:p w:rsidR="00EC2607" w:rsidRDefault="00EC2607" w:rsidP="00EC2607">
      <w:pPr>
        <w:pStyle w:val="Cabealho"/>
        <w:tabs>
          <w:tab w:val="left" w:pos="708"/>
        </w:tabs>
        <w:jc w:val="both"/>
        <w:rPr>
          <w:color w:val="000000"/>
          <w:sz w:val="22"/>
          <w:szCs w:val="22"/>
        </w:rPr>
      </w:pPr>
    </w:p>
    <w:p w:rsidR="00EC2607" w:rsidRDefault="00EC2607" w:rsidP="00EC2607">
      <w:pPr>
        <w:pStyle w:val="Cabealho"/>
        <w:tabs>
          <w:tab w:val="left" w:pos="708"/>
        </w:tabs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t xml:space="preserve">João Batista Vaz da Silva </w:t>
      </w:r>
      <w:r>
        <w:rPr>
          <w:noProof/>
          <w:color w:val="000000"/>
          <w:sz w:val="22"/>
          <w:szCs w:val="22"/>
        </w:rPr>
        <w:t>- Cebola</w:t>
      </w:r>
    </w:p>
    <w:p w:rsidR="00EC2607" w:rsidRDefault="00EC2607" w:rsidP="00EC2607">
      <w:pPr>
        <w:pStyle w:val="Cabealho"/>
        <w:tabs>
          <w:tab w:val="left" w:pos="708"/>
        </w:tabs>
        <w:jc w:val="center"/>
        <w:rPr>
          <w:sz w:val="28"/>
          <w:szCs w:val="28"/>
        </w:rPr>
      </w:pPr>
      <w:r>
        <w:rPr>
          <w:color w:val="000000"/>
          <w:sz w:val="22"/>
          <w:szCs w:val="22"/>
        </w:rPr>
        <w:t>Prefeito Municipal</w:t>
      </w:r>
    </w:p>
    <w:p w:rsidR="00EC2607" w:rsidRDefault="00EC2607" w:rsidP="00EC2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F36" w:rsidRDefault="00446F36">
      <w:bookmarkStart w:id="0" w:name="_GoBack"/>
      <w:bookmarkEnd w:id="0"/>
    </w:p>
    <w:sectPr w:rsidR="00446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07"/>
    <w:rsid w:val="00446F36"/>
    <w:rsid w:val="00E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07"/>
    <w:pPr>
      <w:spacing w:after="160"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26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C2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2607"/>
    <w:pPr>
      <w:spacing w:after="0" w:line="240" w:lineRule="auto"/>
      <w:ind w:left="3600"/>
      <w:jc w:val="both"/>
    </w:pPr>
    <w:rPr>
      <w:rFonts w:ascii="Arial" w:eastAsia="Times New Roman" w:hAnsi="Arial" w:cs="Arial"/>
      <w:b/>
      <w:bCs/>
      <w:color w:val="auto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2607"/>
    <w:rPr>
      <w:rFonts w:ascii="Arial" w:eastAsia="Times New Roman" w:hAnsi="Arial" w:cs="Arial"/>
      <w:b/>
      <w:bCs/>
      <w:sz w:val="28"/>
      <w:szCs w:val="24"/>
      <w:lang w:eastAsia="pt-BR"/>
    </w:rPr>
  </w:style>
  <w:style w:type="table" w:customStyle="1" w:styleId="TableGrid">
    <w:name w:val="TableGrid"/>
    <w:rsid w:val="00EC260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07"/>
    <w:pPr>
      <w:spacing w:after="160"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260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C26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2607"/>
    <w:pPr>
      <w:spacing w:after="0" w:line="240" w:lineRule="auto"/>
      <w:ind w:left="3600"/>
      <w:jc w:val="both"/>
    </w:pPr>
    <w:rPr>
      <w:rFonts w:ascii="Arial" w:eastAsia="Times New Roman" w:hAnsi="Arial" w:cs="Arial"/>
      <w:b/>
      <w:bCs/>
      <w:color w:val="auto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2607"/>
    <w:rPr>
      <w:rFonts w:ascii="Arial" w:eastAsia="Times New Roman" w:hAnsi="Arial" w:cs="Arial"/>
      <w:b/>
      <w:bCs/>
      <w:sz w:val="28"/>
      <w:szCs w:val="24"/>
      <w:lang w:eastAsia="pt-BR"/>
    </w:rPr>
  </w:style>
  <w:style w:type="table" w:customStyle="1" w:styleId="TableGrid">
    <w:name w:val="TableGrid"/>
    <w:rsid w:val="00EC2607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2019-06-26T17:31:00Z</dcterms:created>
  <dcterms:modified xsi:type="dcterms:W3CDTF">2019-06-26T17:32:00Z</dcterms:modified>
</cp:coreProperties>
</file>