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5102" w14:textId="77777777" w:rsidR="009A11F4" w:rsidRDefault="009A11F4" w:rsidP="009A11F4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217/2025</w:t>
      </w:r>
    </w:p>
    <w:p w14:paraId="29187ED0" w14:textId="77777777" w:rsidR="009A11F4" w:rsidRDefault="009A11F4" w:rsidP="009A11F4">
      <w:pPr>
        <w:autoSpaceDE w:val="0"/>
        <w:autoSpaceDN w:val="0"/>
        <w:adjustRightInd w:val="0"/>
        <w:rPr>
          <w:b/>
          <w:bCs/>
        </w:rPr>
      </w:pPr>
    </w:p>
    <w:p w14:paraId="2BC5B72C" w14:textId="77777777" w:rsidR="009A11F4" w:rsidRDefault="009A11F4" w:rsidP="009A11F4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especial dentro do orçamento vigente e dá outras providências.</w:t>
      </w:r>
    </w:p>
    <w:p w14:paraId="5B10E302" w14:textId="77777777" w:rsidR="009A11F4" w:rsidRDefault="009A11F4" w:rsidP="009A11F4">
      <w:pPr>
        <w:ind w:left="4248" w:firstLine="709"/>
        <w:jc w:val="both"/>
        <w:rPr>
          <w:b/>
          <w:bCs/>
        </w:rPr>
      </w:pPr>
    </w:p>
    <w:p w14:paraId="31E19D44" w14:textId="77777777" w:rsidR="009A11F4" w:rsidRDefault="009A11F4" w:rsidP="009A11F4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375B15DE" w14:textId="77777777" w:rsidR="009A11F4" w:rsidRDefault="009A11F4" w:rsidP="009A11F4">
      <w:pPr>
        <w:ind w:left="-426" w:firstLine="710"/>
        <w:jc w:val="both"/>
      </w:pPr>
    </w:p>
    <w:p w14:paraId="3C62A929" w14:textId="77777777" w:rsidR="009A11F4" w:rsidRDefault="009A11F4" w:rsidP="009A11F4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</w:t>
      </w:r>
      <w:r>
        <w:rPr>
          <w:rFonts w:eastAsia="MS Mincho"/>
          <w:b/>
        </w:rPr>
        <w:t>especial</w:t>
      </w:r>
      <w:r>
        <w:rPr>
          <w:rFonts w:eastAsia="MS Mincho"/>
        </w:rPr>
        <w:t xml:space="preserve"> no orçamento do ano de 2.025 no valor de R$ 20.000,00 (vinte mil reais) que será destinado à Secretaria Municipal de Esportes e Lazer, em conformidade ao disposto no inciso II, do artigo 41 da Lei Federal nº 4.320 de 17 de março de 1.964.</w:t>
      </w:r>
    </w:p>
    <w:p w14:paraId="3000569F" w14:textId="77777777" w:rsidR="009A11F4" w:rsidRDefault="009A11F4" w:rsidP="009A11F4">
      <w:pPr>
        <w:ind w:left="-426" w:firstLine="710"/>
        <w:jc w:val="both"/>
        <w:rPr>
          <w:b/>
        </w:rPr>
      </w:pPr>
    </w:p>
    <w:p w14:paraId="1807EB9A" w14:textId="77777777" w:rsidR="009A11F4" w:rsidRDefault="009A11F4" w:rsidP="009A11F4">
      <w:pPr>
        <w:ind w:left="-426" w:firstLine="710"/>
        <w:jc w:val="both"/>
      </w:pPr>
      <w:r>
        <w:rPr>
          <w:b/>
        </w:rPr>
        <w:t xml:space="preserve">Art. 2° </w:t>
      </w:r>
      <w:r>
        <w:t>O crédito aberto na forma do artigo anterior terá a seguinte classificação orçamentária:</w:t>
      </w:r>
    </w:p>
    <w:p w14:paraId="02E6449F" w14:textId="77777777" w:rsidR="009A11F4" w:rsidRDefault="009A11F4" w:rsidP="009A11F4">
      <w:pPr>
        <w:jc w:val="both"/>
        <w:rPr>
          <w:rFonts w:eastAsia="MS Mincho"/>
        </w:rPr>
      </w:pPr>
    </w:p>
    <w:p w14:paraId="56E33AC9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06 — Secretaria Municipal de Esportes e Lazer</w:t>
      </w:r>
    </w:p>
    <w:p w14:paraId="6653259C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06.002 — Fundo Municipal de Esportes e Lazer</w:t>
      </w:r>
    </w:p>
    <w:p w14:paraId="1ED6B46E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27 — Desporto e Lazer</w:t>
      </w:r>
    </w:p>
    <w:p w14:paraId="2DD4A2E0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27.812 — Desporto Comunitário</w:t>
      </w:r>
    </w:p>
    <w:p w14:paraId="517926B8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 xml:space="preserve">27.812.61 — Desenvolvimento das Atividades do Fundo Municipal do Esporte </w:t>
      </w:r>
    </w:p>
    <w:p w14:paraId="2FCF354A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27.812.61.2.074 — Apoio Administrativo ao Fundo Municipal do Esporte</w:t>
      </w:r>
    </w:p>
    <w:p w14:paraId="3B3C268F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4.4.90.52.00.00.00.00 — Equipamentos e Material Permanente</w:t>
      </w:r>
      <w:r>
        <w:t>......................................</w:t>
      </w:r>
      <w:r>
        <w:rPr>
          <w:b/>
          <w:bCs/>
        </w:rPr>
        <w:t>R$ 20.0000,00</w:t>
      </w:r>
    </w:p>
    <w:p w14:paraId="0DA00B27" w14:textId="77777777" w:rsidR="009A11F4" w:rsidRDefault="009A11F4" w:rsidP="009A11F4">
      <w:pPr>
        <w:jc w:val="both"/>
        <w:rPr>
          <w:bCs/>
        </w:rPr>
      </w:pPr>
    </w:p>
    <w:p w14:paraId="4FD88A6B" w14:textId="77777777" w:rsidR="009A11F4" w:rsidRDefault="009A11F4" w:rsidP="009A11F4">
      <w:pPr>
        <w:ind w:left="-426" w:firstLine="710"/>
        <w:jc w:val="both"/>
        <w:rPr>
          <w:b/>
        </w:rPr>
      </w:pPr>
      <w:r>
        <w:rPr>
          <w:b/>
        </w:rPr>
        <w:t>Art. 3º O Crédito adicional suplementar de que trata Esta Lei destina-se a aquisição de aparelho ar condicionado, tatames e bebedouro para o espaço esportivo comunitário na Praia do Sol.</w:t>
      </w:r>
    </w:p>
    <w:p w14:paraId="41430E00" w14:textId="77777777" w:rsidR="009A11F4" w:rsidRDefault="009A11F4" w:rsidP="009A11F4">
      <w:pPr>
        <w:ind w:left="-426" w:firstLine="710"/>
        <w:jc w:val="both"/>
        <w:rPr>
          <w:b/>
          <w:bCs/>
        </w:rPr>
      </w:pPr>
    </w:p>
    <w:p w14:paraId="447CFBC1" w14:textId="77777777" w:rsidR="009A11F4" w:rsidRDefault="009A11F4" w:rsidP="009A11F4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 seguinte dotação orçamentária, conforme inciso III, § 1º, do artigo 43 da Lei Federal nº 4.320/1964:</w:t>
      </w:r>
    </w:p>
    <w:p w14:paraId="09D2E838" w14:textId="77777777" w:rsidR="009A11F4" w:rsidRDefault="009A11F4" w:rsidP="009A11F4">
      <w:pPr>
        <w:ind w:left="-426"/>
        <w:jc w:val="both"/>
        <w:rPr>
          <w:bCs/>
        </w:rPr>
      </w:pPr>
    </w:p>
    <w:p w14:paraId="7B235C4B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10 — Secretaria Municipal de Meio Ambiente e Desenvolvimento</w:t>
      </w:r>
    </w:p>
    <w:p w14:paraId="1698B30B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10.001 — Meio Ambiente e Desenvolvimento</w:t>
      </w:r>
    </w:p>
    <w:p w14:paraId="7B1961F8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4 — Administração</w:t>
      </w:r>
    </w:p>
    <w:p w14:paraId="17D0510C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4.122 — Administração Geral</w:t>
      </w:r>
    </w:p>
    <w:p w14:paraId="2DC1E6D8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4.122.31 — Desenvolvimento das Atividades da Secretaria de Meio Ambiente e Desenvolvimento</w:t>
      </w:r>
    </w:p>
    <w:p w14:paraId="02C1A9C4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4.122.31.2.044 — Apoio Administrativo a Secretaria de Meio Ambiente e Desenvolvimento</w:t>
      </w:r>
    </w:p>
    <w:p w14:paraId="5A9A67A5" w14:textId="77777777" w:rsidR="009A11F4" w:rsidRDefault="009A11F4" w:rsidP="009A11F4">
      <w:pPr>
        <w:ind w:left="-426"/>
        <w:jc w:val="both"/>
        <w:rPr>
          <w:bCs/>
        </w:rPr>
      </w:pPr>
      <w:r>
        <w:rPr>
          <w:bCs/>
        </w:rPr>
        <w:t>3.3.90.30.00.00.00.00 — Material de Consumo..........................</w:t>
      </w:r>
      <w:r>
        <w:t>.....................................</w:t>
      </w:r>
      <w:r>
        <w:rPr>
          <w:b/>
          <w:bCs/>
        </w:rPr>
        <w:t>R$ 20.0000,00</w:t>
      </w:r>
    </w:p>
    <w:p w14:paraId="7086FB8F" w14:textId="77777777" w:rsidR="009A11F4" w:rsidRDefault="009A11F4" w:rsidP="009A11F4">
      <w:pPr>
        <w:jc w:val="both"/>
        <w:rPr>
          <w:b/>
        </w:rPr>
      </w:pPr>
    </w:p>
    <w:p w14:paraId="056D8CE5" w14:textId="77777777" w:rsidR="009A11F4" w:rsidRDefault="009A11F4" w:rsidP="009A11F4">
      <w:pPr>
        <w:ind w:left="-426" w:firstLine="710"/>
        <w:jc w:val="both"/>
      </w:pPr>
      <w:r>
        <w:rPr>
          <w:b/>
        </w:rPr>
        <w:t xml:space="preserve">Art. 5º </w:t>
      </w:r>
      <w:r>
        <w:t>O Crédito adicional de que trata o artigo 1º será custeado pela seguinte fonte de recurso orçamentário:</w:t>
      </w:r>
    </w:p>
    <w:p w14:paraId="56C2EF0D" w14:textId="77777777" w:rsidR="009A11F4" w:rsidRDefault="009A11F4" w:rsidP="009A11F4">
      <w:pPr>
        <w:ind w:left="-426" w:firstLine="710"/>
        <w:jc w:val="both"/>
      </w:pPr>
    </w:p>
    <w:p w14:paraId="0F59B8F7" w14:textId="77777777" w:rsidR="009A11F4" w:rsidRDefault="009A11F4" w:rsidP="009A11F4">
      <w:pPr>
        <w:ind w:left="-426"/>
        <w:jc w:val="both"/>
        <w:rPr>
          <w:rFonts w:eastAsia="MS Mincho"/>
        </w:rPr>
      </w:pPr>
      <w:r>
        <w:t>1.749.0000000 – Outras Vinculações de Transferências..................................................</w:t>
      </w:r>
      <w:r>
        <w:rPr>
          <w:b/>
          <w:bCs/>
        </w:rPr>
        <w:t>R$ 20.0000,00</w:t>
      </w:r>
    </w:p>
    <w:p w14:paraId="00199D26" w14:textId="77777777" w:rsidR="009A11F4" w:rsidRDefault="009A11F4" w:rsidP="009A11F4">
      <w:pPr>
        <w:ind w:left="-426"/>
        <w:jc w:val="both"/>
      </w:pPr>
    </w:p>
    <w:p w14:paraId="71AE5DDE" w14:textId="77777777" w:rsidR="009A11F4" w:rsidRDefault="009A11F4" w:rsidP="009A11F4">
      <w:pPr>
        <w:pStyle w:val="Corpodetexto"/>
        <w:spacing w:after="0"/>
        <w:ind w:left="-426" w:firstLine="710"/>
        <w:jc w:val="both"/>
      </w:pPr>
      <w:r>
        <w:rPr>
          <w:b/>
        </w:rPr>
        <w:lastRenderedPageBreak/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49540E27" w14:textId="77777777" w:rsidR="009A11F4" w:rsidRDefault="009A11F4" w:rsidP="009A11F4">
      <w:pPr>
        <w:pStyle w:val="Corpodetexto"/>
        <w:spacing w:after="0"/>
        <w:ind w:left="-426" w:firstLine="568"/>
        <w:jc w:val="both"/>
      </w:pPr>
    </w:p>
    <w:p w14:paraId="38AFC310" w14:textId="77777777" w:rsidR="009A11F4" w:rsidRDefault="009A11F4" w:rsidP="009A11F4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49DB0EEF" w14:textId="77777777" w:rsidR="009A11F4" w:rsidRDefault="009A11F4" w:rsidP="009A11F4">
      <w:pPr>
        <w:suppressAutoHyphens/>
        <w:autoSpaceDN w:val="0"/>
        <w:ind w:left="-426" w:firstLine="1418"/>
        <w:jc w:val="both"/>
        <w:textAlignment w:val="baseline"/>
      </w:pPr>
    </w:p>
    <w:p w14:paraId="73D8C3A8" w14:textId="77777777" w:rsidR="009A11F4" w:rsidRDefault="009A11F4" w:rsidP="009A11F4">
      <w:pPr>
        <w:ind w:left="-426"/>
        <w:jc w:val="both"/>
      </w:pPr>
      <w:r>
        <w:t>Palácio dos Pioneiros, Gabinete do Prefeito Municipal, Nova Xavantina - MT, 09 de dezembro de 2025.</w:t>
      </w:r>
    </w:p>
    <w:p w14:paraId="5DD70641" w14:textId="77777777" w:rsidR="009A11F4" w:rsidRDefault="009A11F4" w:rsidP="009A11F4">
      <w:pPr>
        <w:jc w:val="both"/>
      </w:pPr>
    </w:p>
    <w:p w14:paraId="1D17E021" w14:textId="77777777" w:rsidR="009A11F4" w:rsidRDefault="009A11F4" w:rsidP="009A11F4">
      <w:pPr>
        <w:jc w:val="both"/>
      </w:pPr>
    </w:p>
    <w:p w14:paraId="37FE16C6" w14:textId="77777777" w:rsidR="009A11F4" w:rsidRDefault="009A11F4" w:rsidP="009A11F4">
      <w:pPr>
        <w:jc w:val="both"/>
      </w:pPr>
    </w:p>
    <w:p w14:paraId="29BC7A08" w14:textId="77777777" w:rsidR="009A11F4" w:rsidRDefault="009A11F4" w:rsidP="009A11F4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3EA23F0D" w14:textId="77777777" w:rsidR="009A11F4" w:rsidRDefault="009A11F4" w:rsidP="009A11F4">
      <w:pPr>
        <w:widowControl w:val="0"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Prefeito Municipal</w:t>
      </w:r>
    </w:p>
    <w:p w14:paraId="7159ADC3" w14:textId="77777777" w:rsidR="009A11F4" w:rsidRDefault="009A11F4" w:rsidP="009A11F4">
      <w:pPr>
        <w:widowControl w:val="0"/>
        <w:autoSpaceDE w:val="0"/>
        <w:autoSpaceDN w:val="0"/>
        <w:adjustRightInd w:val="0"/>
        <w:jc w:val="center"/>
        <w:rPr>
          <w:lang w:val="pt-PT"/>
        </w:rPr>
      </w:pPr>
    </w:p>
    <w:p w14:paraId="186BFC17" w14:textId="77777777" w:rsidR="009A11F4" w:rsidRDefault="009A11F4" w:rsidP="009A11F4">
      <w:pPr>
        <w:widowControl w:val="0"/>
        <w:autoSpaceDE w:val="0"/>
        <w:autoSpaceDN w:val="0"/>
        <w:adjustRightInd w:val="0"/>
        <w:jc w:val="right"/>
      </w:pPr>
      <w:r>
        <w:rPr>
          <w:lang w:val="pt-PT"/>
        </w:rPr>
        <w:t>URGÊNCIA ESPECIAL.</w:t>
      </w:r>
    </w:p>
    <w:p w14:paraId="73E469CB" w14:textId="77777777" w:rsidR="000D6968" w:rsidRDefault="000D6968"/>
    <w:sectPr w:rsidR="000D6968" w:rsidSect="009A11F4">
      <w:headerReference w:type="default" r:id="rId4"/>
      <w:footerReference w:type="default" r:id="rId5"/>
      <w:pgSz w:w="11906" w:h="16838"/>
      <w:pgMar w:top="1002" w:right="849" w:bottom="1417" w:left="1701" w:header="284" w:footer="2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287207"/>
      <w:docPartObj>
        <w:docPartGallery w:val="Page Numbers (Bottom of Page)"/>
        <w:docPartUnique/>
      </w:docPartObj>
    </w:sdtPr>
    <w:sdtContent>
      <w:p w14:paraId="068D55D7" w14:textId="77777777" w:rsidR="00000000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22C83B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2C7B7" w14:textId="77777777" w:rsidR="00000000" w:rsidRDefault="00000000">
    <w:pPr>
      <w:pStyle w:val="Cabealho"/>
      <w:jc w:val="center"/>
    </w:pP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14:paraId="42A4644A" w14:textId="77777777" w:rsidR="00000000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683135" wp14:editId="353476C0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831215" cy="768350"/>
          <wp:effectExtent l="0" t="0" r="6985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83630" w14:textId="77777777" w:rsidR="00000000" w:rsidRDefault="00000000">
    <w:pPr>
      <w:pStyle w:val="Cabealho"/>
      <w:jc w:val="center"/>
      <w:rPr>
        <w:b/>
      </w:rPr>
    </w:pPr>
  </w:p>
  <w:p w14:paraId="4B33AEF9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18CC50A4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713E504F" w14:textId="77777777" w:rsidR="00000000" w:rsidRDefault="00000000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14:paraId="7E9BD165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Estado de Mato Grosso</w:t>
    </w:r>
  </w:p>
  <w:p w14:paraId="3ABD02B5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Prefeitura Municipal de Nova Xavantina</w:t>
    </w:r>
  </w:p>
  <w:p w14:paraId="001DACB4" w14:textId="77777777" w:rsidR="00000000" w:rsidRDefault="00000000">
    <w:pPr>
      <w:pStyle w:val="Cabealh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Rua José Rosalino da Silva, nº 2 – Centro – CEP 78.690-000 - Nova Xavantina/MT </w:t>
    </w:r>
  </w:p>
  <w:p w14:paraId="0D772BCB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hyperlink r:id="rId2" w:history="1">
      <w:r>
        <w:rPr>
          <w:rStyle w:val="Hyperlink"/>
          <w:rFonts w:ascii="Calibri" w:hAnsi="Calibri" w:cs="Calibri"/>
          <w:sz w:val="22"/>
          <w:szCs w:val="22"/>
        </w:rPr>
        <w:t>www.novaxavantina.mt.gov.br</w:t>
      </w:r>
    </w:hyperlink>
    <w:r>
      <w:rPr>
        <w:rFonts w:ascii="Calibri" w:hAnsi="Calibri" w:cs="Calibri"/>
        <w:sz w:val="22"/>
        <w:szCs w:val="22"/>
      </w:rPr>
      <w:t xml:space="preserve">  </w:t>
    </w:r>
  </w:p>
  <w:p w14:paraId="2FD7B948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</w:p>
  <w:p w14:paraId="01EBB949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F4"/>
    <w:rsid w:val="000D6968"/>
    <w:rsid w:val="00236B3B"/>
    <w:rsid w:val="008A55E4"/>
    <w:rsid w:val="009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13E4"/>
  <w15:chartTrackingRefBased/>
  <w15:docId w15:val="{0FBDA7B3-6E7C-48C5-A7FE-DC2AFBEB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9A11F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A11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1F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A11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1F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9A11F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A11F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2025-12-09T21:07:00Z</cp:lastPrinted>
  <dcterms:created xsi:type="dcterms:W3CDTF">2025-12-09T21:06:00Z</dcterms:created>
  <dcterms:modified xsi:type="dcterms:W3CDTF">2025-12-09T21:07:00Z</dcterms:modified>
</cp:coreProperties>
</file>