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04" w:rsidRPr="00E2738A" w:rsidRDefault="000E7B04" w:rsidP="000E7B04">
      <w:pPr>
        <w:spacing w:after="0" w:line="240" w:lineRule="auto"/>
        <w:jc w:val="center"/>
        <w:rPr>
          <w:rFonts w:eastAsia="Times New Roman" w:cstheme="minorHAnsi"/>
          <w:b/>
          <w:bCs/>
          <w:color w:val="000000"/>
          <w:sz w:val="20"/>
          <w:szCs w:val="20"/>
          <w:u w:val="single"/>
          <w:lang w:eastAsia="pt-BR"/>
        </w:rPr>
      </w:pPr>
      <w:r w:rsidRPr="00E2738A">
        <w:rPr>
          <w:rFonts w:eastAsia="Times New Roman" w:cstheme="minorHAnsi"/>
          <w:b/>
          <w:bCs/>
          <w:color w:val="000000"/>
          <w:sz w:val="20"/>
          <w:szCs w:val="20"/>
          <w:u w:val="single"/>
          <w:lang w:eastAsia="pt-BR"/>
        </w:rPr>
        <w:t>PROJETO DE LEI MUNICIPAL Nº 72/2024</w:t>
      </w:r>
    </w:p>
    <w:p w:rsidR="000E7B04" w:rsidRPr="00E2738A" w:rsidRDefault="000E7B04" w:rsidP="000E7B04">
      <w:pPr>
        <w:spacing w:after="0" w:line="240" w:lineRule="auto"/>
        <w:jc w:val="both"/>
        <w:rPr>
          <w:rFonts w:eastAsia="Times New Roman" w:cstheme="minorHAnsi"/>
          <w:i/>
          <w:color w:val="000000"/>
          <w:sz w:val="20"/>
          <w:szCs w:val="20"/>
          <w:u w:val="single"/>
          <w:lang w:eastAsia="pt-BR"/>
        </w:rPr>
      </w:pPr>
    </w:p>
    <w:p w:rsidR="000E7B04" w:rsidRPr="00E2738A" w:rsidRDefault="000E7B04" w:rsidP="000E7B04">
      <w:pPr>
        <w:spacing w:after="0" w:line="240" w:lineRule="auto"/>
        <w:ind w:left="1416" w:firstLine="2"/>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Autoriza abertura de crédito adicional suplementar por remanejamento dentro do orçamento vigente e dá outras providências.</w:t>
      </w: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 xml:space="preserve">O </w:t>
      </w:r>
      <w:r w:rsidRPr="00E2738A">
        <w:rPr>
          <w:rFonts w:eastAsia="Times New Roman" w:cstheme="minorHAnsi"/>
          <w:b/>
          <w:color w:val="000000"/>
          <w:sz w:val="20"/>
          <w:szCs w:val="20"/>
          <w:lang w:eastAsia="pt-BR"/>
        </w:rPr>
        <w:t>Prefeito do Município de Nova Xavantina</w:t>
      </w:r>
      <w:r w:rsidRPr="00E2738A">
        <w:rPr>
          <w:rFonts w:eastAsia="Times New Roman" w:cstheme="minorHAnsi"/>
          <w:color w:val="000000"/>
          <w:sz w:val="20"/>
          <w:szCs w:val="20"/>
          <w:lang w:eastAsia="pt-BR"/>
        </w:rPr>
        <w:t>, Estado de Mato Grosso, faz saber que a Câmara Municipal aprovou e ele sanciona a seguinte lei:</w:t>
      </w: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r w:rsidRPr="00E2738A">
        <w:rPr>
          <w:rFonts w:eastAsia="Times New Roman" w:cstheme="minorHAnsi"/>
          <w:b/>
          <w:bCs/>
          <w:color w:val="000000"/>
          <w:sz w:val="20"/>
          <w:szCs w:val="20"/>
          <w:lang w:eastAsia="pt-BR"/>
        </w:rPr>
        <w:t xml:space="preserve">Art. 1º </w:t>
      </w:r>
      <w:r w:rsidRPr="00E2738A">
        <w:rPr>
          <w:rFonts w:eastAsia="Times New Roman" w:cstheme="minorHAnsi"/>
          <w:color w:val="000000"/>
          <w:sz w:val="20"/>
          <w:szCs w:val="20"/>
          <w:lang w:eastAsia="pt-BR"/>
        </w:rPr>
        <w:t xml:space="preserve">Fica o Poder Executivo autorizado a abrir crédito adicional suplementar por remanejamento no orçamento do ano de 2.024, em conformidade ao disposto no inciso I, do artigo 41 da Lei Federal nº 4.320 de 17 de março de 1.964, com a finalidade de </w:t>
      </w:r>
      <w:proofErr w:type="gramStart"/>
      <w:r w:rsidRPr="00E2738A">
        <w:rPr>
          <w:rFonts w:eastAsia="Times New Roman" w:cstheme="minorHAnsi"/>
          <w:color w:val="000000"/>
          <w:sz w:val="20"/>
          <w:szCs w:val="20"/>
          <w:lang w:eastAsia="pt-BR"/>
        </w:rPr>
        <w:t>suplementar dotações</w:t>
      </w:r>
      <w:proofErr w:type="gramEnd"/>
      <w:r w:rsidRPr="00E2738A">
        <w:rPr>
          <w:rFonts w:eastAsia="Times New Roman" w:cstheme="minorHAnsi"/>
          <w:color w:val="000000"/>
          <w:sz w:val="20"/>
          <w:szCs w:val="20"/>
          <w:lang w:eastAsia="pt-BR"/>
        </w:rPr>
        <w:t xml:space="preserve"> orçamentárias, no valor de R$ 78.226,82 (setenta e oito mil duzentos e vinte e seis reais e oitenta e dois centavos) destinado a custear despesas relativas ao pagamento de empresa que presta serviço na construção da ponte do córrego Salgadinho pela Secretaria Municipal de Infraestrutura (SMI).</w:t>
      </w: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r w:rsidRPr="00E2738A">
        <w:rPr>
          <w:rFonts w:eastAsia="Times New Roman" w:cstheme="minorHAnsi"/>
          <w:b/>
          <w:bCs/>
          <w:color w:val="000000"/>
          <w:sz w:val="20"/>
          <w:szCs w:val="20"/>
          <w:lang w:eastAsia="pt-BR"/>
        </w:rPr>
        <w:t>Art. 2º </w:t>
      </w:r>
      <w:r w:rsidRPr="00E2738A">
        <w:rPr>
          <w:rFonts w:eastAsia="Times New Roman" w:cstheme="minorHAnsi"/>
          <w:color w:val="000000"/>
          <w:sz w:val="20"/>
          <w:szCs w:val="20"/>
          <w:lang w:eastAsia="pt-BR"/>
        </w:rPr>
        <w:t>O crédito adicional suplementar por remanejamento definido no artigo 1º, terá as seguintes classificações orçamentárias:</w:t>
      </w:r>
    </w:p>
    <w:p w:rsidR="000E7B04" w:rsidRPr="00E2738A" w:rsidRDefault="000E7B04" w:rsidP="000E7B04">
      <w:pPr>
        <w:spacing w:after="0" w:line="240" w:lineRule="auto"/>
        <w:jc w:val="both"/>
        <w:rPr>
          <w:rFonts w:eastAsia="Times New Roman" w:cstheme="minorHAnsi"/>
          <w:color w:val="000000"/>
          <w:sz w:val="20"/>
          <w:szCs w:val="20"/>
          <w:lang w:eastAsia="pt-BR"/>
        </w:rPr>
      </w:pPr>
      <w:proofErr w:type="gramStart"/>
      <w:r w:rsidRPr="00E2738A">
        <w:rPr>
          <w:rFonts w:eastAsia="Times New Roman" w:cstheme="minorHAnsi"/>
          <w:color w:val="000000"/>
          <w:sz w:val="20"/>
          <w:szCs w:val="20"/>
          <w:lang w:eastAsia="pt-BR"/>
        </w:rPr>
        <w:t>08 — Secretaria</w:t>
      </w:r>
      <w:proofErr w:type="gramEnd"/>
      <w:r w:rsidRPr="00E2738A">
        <w:rPr>
          <w:rFonts w:eastAsia="Times New Roman" w:cstheme="minorHAnsi"/>
          <w:color w:val="000000"/>
          <w:sz w:val="20"/>
          <w:szCs w:val="20"/>
          <w:lang w:eastAsia="pt-BR"/>
        </w:rPr>
        <w:t xml:space="preserve"> Municipal de Infraestrutura</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08.001 — Infraestrutura</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26 — Transporte</w:t>
      </w:r>
    </w:p>
    <w:p w:rsidR="000E7B04" w:rsidRPr="00E2738A" w:rsidRDefault="000E7B04" w:rsidP="000E7B04">
      <w:pPr>
        <w:spacing w:after="0" w:line="240" w:lineRule="auto"/>
        <w:jc w:val="both"/>
        <w:rPr>
          <w:rFonts w:eastAsia="Times New Roman" w:cstheme="minorHAnsi"/>
          <w:color w:val="000000"/>
          <w:sz w:val="20"/>
          <w:szCs w:val="20"/>
          <w:lang w:eastAsia="pt-BR"/>
        </w:rPr>
      </w:pPr>
      <w:proofErr w:type="gramStart"/>
      <w:r w:rsidRPr="00E2738A">
        <w:rPr>
          <w:rFonts w:eastAsia="Times New Roman" w:cstheme="minorHAnsi"/>
          <w:color w:val="000000"/>
          <w:sz w:val="20"/>
          <w:szCs w:val="20"/>
          <w:lang w:eastAsia="pt-BR"/>
        </w:rPr>
        <w:t>26.782 — Transporte</w:t>
      </w:r>
      <w:proofErr w:type="gramEnd"/>
      <w:r w:rsidRPr="00E2738A">
        <w:rPr>
          <w:rFonts w:eastAsia="Times New Roman" w:cstheme="minorHAnsi"/>
          <w:color w:val="000000"/>
          <w:sz w:val="20"/>
          <w:szCs w:val="20"/>
          <w:lang w:eastAsia="pt-BR"/>
        </w:rPr>
        <w:t xml:space="preserve"> Rodoviário</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26.782.0024 — Desenvolvimento das Atividades da Secretaria de Infraestrutura</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26.782.0024.1.036 — Construção de Pontes e Bueiros e de Manutenção de Estradas</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4.4.90.51.00.00.00 — Obras e Instalações</w:t>
      </w:r>
      <w:proofErr w:type="gramStart"/>
      <w:r w:rsidRPr="00E2738A">
        <w:rPr>
          <w:rFonts w:eastAsia="Times New Roman" w:cstheme="minorHAnsi"/>
          <w:color w:val="000000"/>
          <w:sz w:val="20"/>
          <w:szCs w:val="20"/>
          <w:lang w:eastAsia="pt-BR"/>
        </w:rPr>
        <w:t>...........................................................</w:t>
      </w:r>
      <w:r>
        <w:rPr>
          <w:rFonts w:eastAsia="Times New Roman" w:cstheme="minorHAnsi"/>
          <w:color w:val="000000"/>
          <w:sz w:val="20"/>
          <w:szCs w:val="20"/>
          <w:lang w:eastAsia="pt-BR"/>
        </w:rPr>
        <w:t>...................</w:t>
      </w:r>
      <w:r w:rsidRPr="00E2738A">
        <w:rPr>
          <w:rFonts w:eastAsia="Times New Roman" w:cstheme="minorHAnsi"/>
          <w:color w:val="000000"/>
          <w:sz w:val="20"/>
          <w:szCs w:val="20"/>
          <w:lang w:eastAsia="pt-BR"/>
        </w:rPr>
        <w:t>...................</w:t>
      </w:r>
      <w:proofErr w:type="gramEnd"/>
      <w:r w:rsidRPr="00E2738A">
        <w:rPr>
          <w:rFonts w:eastAsia="Times New Roman" w:cstheme="minorHAnsi"/>
          <w:color w:val="000000"/>
          <w:sz w:val="20"/>
          <w:szCs w:val="20"/>
          <w:lang w:eastAsia="pt-BR"/>
        </w:rPr>
        <w:t>R$ 78.226,82</w:t>
      </w:r>
    </w:p>
    <w:p w:rsidR="000E7B04" w:rsidRPr="00E2738A" w:rsidRDefault="000E7B04" w:rsidP="000E7B04">
      <w:pPr>
        <w:spacing w:after="0" w:line="240" w:lineRule="auto"/>
        <w:jc w:val="both"/>
        <w:rPr>
          <w:rFonts w:eastAsia="Times New Roman" w:cstheme="minorHAnsi"/>
          <w:b/>
          <w:bCs/>
          <w:color w:val="000000"/>
          <w:sz w:val="20"/>
          <w:szCs w:val="20"/>
          <w:lang w:eastAsia="pt-BR"/>
        </w:rPr>
      </w:pP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r w:rsidRPr="00E2738A">
        <w:rPr>
          <w:rFonts w:eastAsia="Times New Roman" w:cstheme="minorHAnsi"/>
          <w:b/>
          <w:bCs/>
          <w:color w:val="000000"/>
          <w:sz w:val="20"/>
          <w:szCs w:val="20"/>
          <w:lang w:eastAsia="pt-BR"/>
        </w:rPr>
        <w:t>Art. 3º </w:t>
      </w:r>
      <w:r w:rsidRPr="00E2738A">
        <w:rPr>
          <w:rFonts w:eastAsia="Times New Roman" w:cstheme="minorHAnsi"/>
          <w:color w:val="000000"/>
          <w:sz w:val="20"/>
          <w:szCs w:val="20"/>
          <w:lang w:eastAsia="pt-BR"/>
        </w:rPr>
        <w:t xml:space="preserve">O crédito adicional suplementar por remanejamento de que trata o artigo 1º será coberto pela anulação parcial da seguinte dotação orçamentária em conformidade com o inciso III do parágrafo 1º do Art. 43 da Lei Federal nº 4.320 de 17 de março de 1.964: </w:t>
      </w:r>
    </w:p>
    <w:p w:rsidR="000E7B04" w:rsidRPr="00E2738A" w:rsidRDefault="000E7B04" w:rsidP="000E7B04">
      <w:pPr>
        <w:spacing w:after="0" w:line="240" w:lineRule="auto"/>
        <w:jc w:val="both"/>
        <w:rPr>
          <w:rFonts w:eastAsia="Times New Roman" w:cstheme="minorHAnsi"/>
          <w:color w:val="000000"/>
          <w:sz w:val="20"/>
          <w:szCs w:val="20"/>
          <w:lang w:eastAsia="pt-BR"/>
        </w:rPr>
      </w:pPr>
      <w:proofErr w:type="gramStart"/>
      <w:r w:rsidRPr="00E2738A">
        <w:rPr>
          <w:rFonts w:eastAsia="Times New Roman" w:cstheme="minorHAnsi"/>
          <w:color w:val="000000"/>
          <w:sz w:val="20"/>
          <w:szCs w:val="20"/>
          <w:lang w:eastAsia="pt-BR"/>
        </w:rPr>
        <w:t>12 — Secretaria</w:t>
      </w:r>
      <w:proofErr w:type="gramEnd"/>
      <w:r w:rsidRPr="00E2738A">
        <w:rPr>
          <w:rFonts w:eastAsia="Times New Roman" w:cstheme="minorHAnsi"/>
          <w:color w:val="000000"/>
          <w:sz w:val="20"/>
          <w:szCs w:val="20"/>
          <w:lang w:eastAsia="pt-BR"/>
        </w:rPr>
        <w:t xml:space="preserve"> Municipal de Cidade</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12.001 — Cidade</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04.122.0043.2.060 — Apoio Administrativo a Secretaria Municipal de Cidade</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3.3.90.39.00.00.00 — Outros Serviços de Terceiros – Pessoa Jurídica</w:t>
      </w:r>
      <w:proofErr w:type="gramStart"/>
      <w:r w:rsidRPr="00E2738A">
        <w:rPr>
          <w:rFonts w:eastAsia="Times New Roman" w:cstheme="minorHAnsi"/>
          <w:color w:val="000000"/>
          <w:sz w:val="20"/>
          <w:szCs w:val="20"/>
          <w:lang w:eastAsia="pt-BR"/>
        </w:rPr>
        <w:t>...............</w:t>
      </w:r>
      <w:r>
        <w:rPr>
          <w:rFonts w:eastAsia="Times New Roman" w:cstheme="minorHAnsi"/>
          <w:color w:val="000000"/>
          <w:sz w:val="20"/>
          <w:szCs w:val="20"/>
          <w:lang w:eastAsia="pt-BR"/>
        </w:rPr>
        <w:t>............................</w:t>
      </w:r>
      <w:r w:rsidRPr="00E2738A">
        <w:rPr>
          <w:rFonts w:eastAsia="Times New Roman" w:cstheme="minorHAnsi"/>
          <w:color w:val="000000"/>
          <w:sz w:val="20"/>
          <w:szCs w:val="20"/>
          <w:lang w:eastAsia="pt-BR"/>
        </w:rPr>
        <w:t>...........</w:t>
      </w:r>
      <w:proofErr w:type="gramEnd"/>
      <w:r w:rsidRPr="00E2738A">
        <w:rPr>
          <w:rFonts w:eastAsia="Times New Roman" w:cstheme="minorHAnsi"/>
          <w:color w:val="000000"/>
          <w:sz w:val="20"/>
          <w:szCs w:val="20"/>
          <w:lang w:eastAsia="pt-BR"/>
        </w:rPr>
        <w:t>R$ 78.226,82</w:t>
      </w:r>
    </w:p>
    <w:p w:rsidR="000E7B04" w:rsidRPr="00E2738A" w:rsidRDefault="000E7B04" w:rsidP="000E7B04">
      <w:pPr>
        <w:spacing w:after="0" w:line="240" w:lineRule="auto"/>
        <w:jc w:val="both"/>
        <w:rPr>
          <w:rFonts w:eastAsia="Times New Roman" w:cstheme="minorHAnsi"/>
          <w:b/>
          <w:bCs/>
          <w:color w:val="000000"/>
          <w:sz w:val="20"/>
          <w:szCs w:val="20"/>
          <w:lang w:eastAsia="pt-BR"/>
        </w:rPr>
      </w:pP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r w:rsidRPr="00E2738A">
        <w:rPr>
          <w:rFonts w:eastAsia="Times New Roman" w:cstheme="minorHAnsi"/>
          <w:b/>
          <w:bCs/>
          <w:color w:val="000000"/>
          <w:sz w:val="20"/>
          <w:szCs w:val="20"/>
          <w:lang w:eastAsia="pt-BR"/>
        </w:rPr>
        <w:t>Art.</w:t>
      </w:r>
      <w:r w:rsidRPr="00E2738A">
        <w:rPr>
          <w:rFonts w:eastAsia="Times New Roman" w:cstheme="minorHAnsi"/>
          <w:b/>
          <w:color w:val="000000"/>
          <w:sz w:val="20"/>
          <w:szCs w:val="20"/>
          <w:lang w:eastAsia="pt-BR"/>
        </w:rPr>
        <w:t xml:space="preserve"> 4º</w:t>
      </w:r>
      <w:r w:rsidRPr="00E2738A">
        <w:rPr>
          <w:rFonts w:eastAsia="Times New Roman" w:cstheme="minorHAnsi"/>
          <w:color w:val="000000"/>
          <w:sz w:val="20"/>
          <w:szCs w:val="20"/>
          <w:lang w:eastAsia="pt-BR"/>
        </w:rPr>
        <w:t xml:space="preserve"> O crédito adicional suplementar por remanejamento de que trata o artigo 1º, será detalhado pela seguinte fonte:</w:t>
      </w: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 xml:space="preserve">1.708.0000000 – Transferência da União Referente </w:t>
      </w:r>
      <w:proofErr w:type="gramStart"/>
      <w:r w:rsidRPr="00E2738A">
        <w:rPr>
          <w:rFonts w:eastAsia="Times New Roman" w:cstheme="minorHAnsi"/>
          <w:color w:val="000000"/>
          <w:sz w:val="20"/>
          <w:szCs w:val="20"/>
          <w:lang w:eastAsia="pt-BR"/>
        </w:rPr>
        <w:t>a</w:t>
      </w:r>
      <w:proofErr w:type="gramEnd"/>
      <w:r w:rsidRPr="00E2738A">
        <w:rPr>
          <w:rFonts w:eastAsia="Times New Roman" w:cstheme="minorHAnsi"/>
          <w:color w:val="000000"/>
          <w:sz w:val="20"/>
          <w:szCs w:val="20"/>
          <w:lang w:eastAsia="pt-BR"/>
        </w:rPr>
        <w:t xml:space="preserve"> Compensação Financeira de Recurso</w:t>
      </w:r>
      <w:r>
        <w:rPr>
          <w:rFonts w:eastAsia="Times New Roman" w:cstheme="minorHAnsi"/>
          <w:color w:val="000000"/>
          <w:sz w:val="20"/>
          <w:szCs w:val="20"/>
          <w:lang w:eastAsia="pt-BR"/>
        </w:rPr>
        <w:t>s Minerai..</w:t>
      </w:r>
      <w:r w:rsidRPr="00E2738A">
        <w:rPr>
          <w:rFonts w:eastAsia="Times New Roman" w:cstheme="minorHAnsi"/>
          <w:color w:val="000000"/>
          <w:sz w:val="20"/>
          <w:szCs w:val="20"/>
          <w:lang w:eastAsia="pt-BR"/>
        </w:rPr>
        <w:t>..R$ 78.226,82</w:t>
      </w:r>
    </w:p>
    <w:p w:rsidR="000E7B04" w:rsidRPr="00E2738A" w:rsidRDefault="000E7B04" w:rsidP="000E7B04">
      <w:pPr>
        <w:spacing w:after="0" w:line="240" w:lineRule="auto"/>
        <w:jc w:val="both"/>
        <w:rPr>
          <w:rFonts w:eastAsia="Times New Roman" w:cstheme="minorHAnsi"/>
          <w:color w:val="000000"/>
          <w:sz w:val="20"/>
          <w:szCs w:val="20"/>
          <w:lang w:eastAsia="pt-BR"/>
        </w:rPr>
      </w:pP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r w:rsidRPr="00E2738A">
        <w:rPr>
          <w:rFonts w:eastAsia="Times New Roman" w:cstheme="minorHAnsi"/>
          <w:b/>
          <w:bCs/>
          <w:color w:val="000000"/>
          <w:sz w:val="20"/>
          <w:szCs w:val="20"/>
          <w:lang w:eastAsia="pt-BR"/>
        </w:rPr>
        <w:t>Art.</w:t>
      </w:r>
      <w:r w:rsidRPr="00E2738A">
        <w:rPr>
          <w:rFonts w:eastAsia="Times New Roman" w:cstheme="minorHAnsi"/>
          <w:b/>
          <w:color w:val="000000"/>
          <w:sz w:val="20"/>
          <w:szCs w:val="20"/>
          <w:lang w:eastAsia="pt-BR"/>
        </w:rPr>
        <w:t xml:space="preserve"> 5º</w:t>
      </w:r>
      <w:r w:rsidRPr="00E2738A">
        <w:rPr>
          <w:rFonts w:eastAsia="Times New Roman" w:cstheme="minorHAnsi"/>
          <w:color w:val="000000"/>
          <w:sz w:val="20"/>
          <w:szCs w:val="20"/>
          <w:lang w:eastAsia="pt-BR"/>
        </w:rPr>
        <w:t xml:space="preserve"> Fica atualizado o Demonstrativo “Quadro de Detalhamento da Despesa” anexo da Lei nº 2.628 de 12 de dezembro de 2023 que dispõe sobre o Orçamento para o exercício 2024 atualizando os elementos de despesas na fonte de recurso conforme acima relacionado.  </w:t>
      </w:r>
    </w:p>
    <w:p w:rsidR="000E7B04" w:rsidRPr="00E2738A" w:rsidRDefault="000E7B04" w:rsidP="000E7B04">
      <w:pPr>
        <w:spacing w:after="0" w:line="240" w:lineRule="auto"/>
        <w:ind w:firstLine="1418"/>
        <w:jc w:val="both"/>
        <w:rPr>
          <w:rFonts w:eastAsia="Times New Roman" w:cstheme="minorHAnsi"/>
          <w:b/>
          <w:bCs/>
          <w:color w:val="000000"/>
          <w:sz w:val="20"/>
          <w:szCs w:val="20"/>
          <w:lang w:eastAsia="pt-BR"/>
        </w:rPr>
      </w:pPr>
    </w:p>
    <w:p w:rsidR="000E7B04" w:rsidRPr="00E2738A" w:rsidRDefault="000E7B04" w:rsidP="000E7B04">
      <w:pPr>
        <w:spacing w:after="0" w:line="240" w:lineRule="auto"/>
        <w:ind w:firstLine="1418"/>
        <w:jc w:val="both"/>
        <w:rPr>
          <w:rFonts w:eastAsia="Times New Roman" w:cstheme="minorHAnsi"/>
          <w:color w:val="000000"/>
          <w:sz w:val="20"/>
          <w:szCs w:val="20"/>
          <w:lang w:eastAsia="pt-BR"/>
        </w:rPr>
      </w:pPr>
      <w:r w:rsidRPr="00E2738A">
        <w:rPr>
          <w:rFonts w:eastAsia="Times New Roman" w:cstheme="minorHAnsi"/>
          <w:b/>
          <w:bCs/>
          <w:color w:val="000000"/>
          <w:sz w:val="20"/>
          <w:szCs w:val="20"/>
          <w:lang w:eastAsia="pt-BR"/>
        </w:rPr>
        <w:t>Art. 6º </w:t>
      </w:r>
      <w:r w:rsidRPr="00E2738A">
        <w:rPr>
          <w:rFonts w:eastAsia="Times New Roman" w:cstheme="minorHAnsi"/>
          <w:color w:val="000000"/>
          <w:sz w:val="20"/>
          <w:szCs w:val="20"/>
          <w:lang w:eastAsia="pt-BR"/>
        </w:rPr>
        <w:t>Esta lei entrará em vigor na data de sua publicação.</w:t>
      </w:r>
    </w:p>
    <w:p w:rsidR="000E7B04" w:rsidRPr="00E2738A" w:rsidRDefault="000E7B04" w:rsidP="000E7B04">
      <w:pPr>
        <w:spacing w:after="0" w:line="240" w:lineRule="auto"/>
        <w:jc w:val="both"/>
        <w:rPr>
          <w:rFonts w:eastAsia="Times New Roman" w:cstheme="minorHAnsi"/>
          <w:color w:val="000000"/>
          <w:sz w:val="20"/>
          <w:szCs w:val="20"/>
          <w:lang w:eastAsia="pt-BR"/>
        </w:rPr>
      </w:pPr>
    </w:p>
    <w:p w:rsidR="000E7B04" w:rsidRPr="00E2738A" w:rsidRDefault="000E7B04" w:rsidP="000E7B04">
      <w:pPr>
        <w:spacing w:after="0" w:line="240" w:lineRule="auto"/>
        <w:jc w:val="both"/>
        <w:rPr>
          <w:rFonts w:eastAsia="Times New Roman" w:cstheme="minorHAnsi"/>
          <w:color w:val="000000"/>
          <w:sz w:val="20"/>
          <w:szCs w:val="20"/>
          <w:lang w:eastAsia="pt-BR"/>
        </w:rPr>
      </w:pPr>
      <w:r w:rsidRPr="00E2738A">
        <w:rPr>
          <w:rFonts w:eastAsia="Times New Roman" w:cstheme="minorHAnsi"/>
          <w:color w:val="000000"/>
          <w:sz w:val="20"/>
          <w:szCs w:val="20"/>
          <w:lang w:eastAsia="pt-BR"/>
        </w:rPr>
        <w:t xml:space="preserve">Palácio dos Pioneiros, Gabinete do Prefeito Municipal, Nova Xavantina—MT, </w:t>
      </w:r>
      <w:proofErr w:type="gramStart"/>
      <w:r w:rsidRPr="00E2738A">
        <w:rPr>
          <w:rFonts w:eastAsia="Times New Roman" w:cstheme="minorHAnsi"/>
          <w:color w:val="000000"/>
          <w:sz w:val="20"/>
          <w:szCs w:val="20"/>
          <w:lang w:eastAsia="pt-BR"/>
        </w:rPr>
        <w:t>6</w:t>
      </w:r>
      <w:proofErr w:type="gramEnd"/>
      <w:r w:rsidRPr="00E2738A">
        <w:rPr>
          <w:rFonts w:eastAsia="Times New Roman" w:cstheme="minorHAnsi"/>
          <w:color w:val="000000"/>
          <w:sz w:val="20"/>
          <w:szCs w:val="20"/>
          <w:lang w:eastAsia="pt-BR"/>
        </w:rPr>
        <w:t xml:space="preserve"> de junho de 2.024</w:t>
      </w:r>
    </w:p>
    <w:p w:rsidR="000E7B04" w:rsidRPr="00E2738A" w:rsidRDefault="000E7B04" w:rsidP="000E7B04">
      <w:pPr>
        <w:spacing w:after="0" w:line="240" w:lineRule="auto"/>
        <w:jc w:val="center"/>
        <w:rPr>
          <w:rFonts w:eastAsia="Times New Roman" w:cstheme="minorHAnsi"/>
          <w:color w:val="000000"/>
          <w:sz w:val="20"/>
          <w:szCs w:val="20"/>
          <w:lang w:eastAsia="pt-BR"/>
        </w:rPr>
      </w:pPr>
    </w:p>
    <w:p w:rsidR="000E7B04" w:rsidRPr="00E2738A" w:rsidRDefault="000E7B04" w:rsidP="000E7B04">
      <w:pPr>
        <w:spacing w:after="0" w:line="240" w:lineRule="auto"/>
        <w:jc w:val="center"/>
        <w:rPr>
          <w:rFonts w:eastAsia="Times New Roman" w:cstheme="minorHAnsi"/>
          <w:b/>
          <w:bCs/>
          <w:color w:val="000000"/>
          <w:sz w:val="20"/>
          <w:szCs w:val="20"/>
          <w:lang w:eastAsia="pt-BR"/>
        </w:rPr>
      </w:pPr>
      <w:r w:rsidRPr="00E2738A">
        <w:rPr>
          <w:rFonts w:eastAsia="Times New Roman" w:cstheme="minorHAnsi"/>
          <w:color w:val="000000"/>
          <w:sz w:val="20"/>
          <w:szCs w:val="20"/>
          <w:lang w:eastAsia="pt-BR"/>
        </w:rPr>
        <w:br/>
      </w:r>
      <w:r w:rsidRPr="00E2738A">
        <w:rPr>
          <w:rFonts w:eastAsia="Times New Roman" w:cstheme="minorHAnsi"/>
          <w:b/>
          <w:bCs/>
          <w:color w:val="000000"/>
          <w:sz w:val="20"/>
          <w:szCs w:val="20"/>
          <w:lang w:eastAsia="pt-BR"/>
        </w:rPr>
        <w:t xml:space="preserve">João Machado Neto </w:t>
      </w:r>
      <w:r w:rsidRPr="00E2738A">
        <w:rPr>
          <w:rFonts w:eastAsia="Times New Roman" w:cstheme="minorHAnsi"/>
          <w:bCs/>
          <w:color w:val="000000"/>
          <w:sz w:val="20"/>
          <w:szCs w:val="20"/>
          <w:lang w:eastAsia="pt-BR"/>
        </w:rPr>
        <w:t>– João Bang</w:t>
      </w:r>
      <w:r w:rsidRPr="00E2738A">
        <w:rPr>
          <w:rFonts w:eastAsia="Times New Roman" w:cstheme="minorHAnsi"/>
          <w:color w:val="000000"/>
          <w:sz w:val="20"/>
          <w:szCs w:val="20"/>
          <w:lang w:eastAsia="pt-BR"/>
        </w:rPr>
        <w:br/>
      </w:r>
      <w:r w:rsidRPr="00E2738A">
        <w:rPr>
          <w:rFonts w:eastAsia="Times New Roman" w:cstheme="minorHAnsi"/>
          <w:b/>
          <w:bCs/>
          <w:color w:val="000000"/>
          <w:sz w:val="20"/>
          <w:szCs w:val="20"/>
          <w:lang w:eastAsia="pt-BR"/>
        </w:rPr>
        <w:t>Prefeito Municipal</w:t>
      </w:r>
    </w:p>
    <w:p w:rsidR="000E7B04" w:rsidRPr="00E2738A" w:rsidRDefault="000E7B04" w:rsidP="000E7B04">
      <w:pPr>
        <w:spacing w:after="0" w:line="240" w:lineRule="auto"/>
        <w:jc w:val="right"/>
        <w:rPr>
          <w:rFonts w:eastAsia="Times New Roman" w:cstheme="minorHAnsi"/>
          <w:color w:val="000000"/>
          <w:sz w:val="20"/>
          <w:szCs w:val="20"/>
          <w:lang w:eastAsia="pt-BR"/>
        </w:rPr>
      </w:pPr>
      <w:r w:rsidRPr="00E2738A">
        <w:rPr>
          <w:rFonts w:eastAsia="Times New Roman" w:cstheme="minorHAnsi"/>
          <w:b/>
          <w:bCs/>
          <w:color w:val="000000"/>
          <w:sz w:val="20"/>
          <w:szCs w:val="20"/>
          <w:lang w:eastAsia="pt-BR"/>
        </w:rPr>
        <w:t>URGÊNCIA ESPECIAL</w:t>
      </w:r>
    </w:p>
    <w:p w:rsidR="005728AF" w:rsidRDefault="005728AF">
      <w:bookmarkStart w:id="0" w:name="_GoBack"/>
      <w:bookmarkEnd w:id="0"/>
    </w:p>
    <w:sectPr w:rsidR="005728AF" w:rsidSect="0055365D">
      <w:headerReference w:type="default" r:id="rId5"/>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7D" w:rsidRDefault="000E7B04" w:rsidP="00305E7D">
    <w:pPr>
      <w:pStyle w:val="Cabealho"/>
      <w:jc w:val="center"/>
    </w:pPr>
    <w:r>
      <w:rPr>
        <w:noProof/>
        <w:lang w:eastAsia="pt-BR"/>
      </w:rPr>
      <w:drawing>
        <wp:anchor distT="0" distB="0" distL="114300" distR="114300" simplePos="0" relativeHeight="251659264" behindDoc="0" locked="0" layoutInCell="1" allowOverlap="1" wp14:anchorId="1DC075D7" wp14:editId="7B75860E">
          <wp:simplePos x="0" y="0"/>
          <wp:positionH relativeFrom="margin">
            <wp:posOffset>2312035</wp:posOffset>
          </wp:positionH>
          <wp:positionV relativeFrom="paragraph">
            <wp:posOffset>-259080</wp:posOffset>
          </wp:positionV>
          <wp:extent cx="831215" cy="768350"/>
          <wp:effectExtent l="0" t="0" r="6985" b="0"/>
          <wp:wrapSquare wrapText="bothSides"/>
          <wp:docPr id="2" name="Imagem 2"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5E7D" w:rsidRDefault="000E7B04" w:rsidP="00305E7D">
    <w:pPr>
      <w:pStyle w:val="Cabealho"/>
      <w:jc w:val="center"/>
      <w:rPr>
        <w:rFonts w:ascii="Calibri" w:hAnsi="Calibri" w:cs="Calibri"/>
        <w:b/>
      </w:rPr>
    </w:pPr>
  </w:p>
  <w:p w:rsidR="00305E7D" w:rsidRDefault="000E7B04" w:rsidP="00305E7D">
    <w:pPr>
      <w:pStyle w:val="Cabealho"/>
      <w:jc w:val="center"/>
      <w:rPr>
        <w:rFonts w:ascii="Calibri" w:hAnsi="Calibri" w:cs="Calibri"/>
        <w:b/>
      </w:rPr>
    </w:pPr>
  </w:p>
  <w:p w:rsidR="00305E7D" w:rsidRPr="00BA356B" w:rsidRDefault="000E7B04" w:rsidP="00305E7D">
    <w:pPr>
      <w:pStyle w:val="Cabealho"/>
      <w:jc w:val="center"/>
      <w:rPr>
        <w:rFonts w:ascii="Calibri" w:hAnsi="Calibri" w:cs="Calibri"/>
        <w:b/>
      </w:rPr>
    </w:pPr>
    <w:r w:rsidRPr="00BA356B">
      <w:rPr>
        <w:rFonts w:ascii="Calibri" w:hAnsi="Calibri" w:cs="Calibri"/>
        <w:b/>
      </w:rPr>
      <w:t xml:space="preserve">Estado </w:t>
    </w:r>
    <w:r>
      <w:rPr>
        <w:rFonts w:ascii="Calibri" w:hAnsi="Calibri" w:cs="Calibri"/>
        <w:b/>
      </w:rPr>
      <w:t>d</w:t>
    </w:r>
    <w:r w:rsidRPr="00BA356B">
      <w:rPr>
        <w:rFonts w:ascii="Calibri" w:hAnsi="Calibri" w:cs="Calibri"/>
        <w:b/>
      </w:rPr>
      <w:t>e Mato Grosso</w:t>
    </w:r>
  </w:p>
  <w:p w:rsidR="00305E7D" w:rsidRPr="00BA356B" w:rsidRDefault="000E7B04" w:rsidP="00305E7D">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rsidR="00305E7D" w:rsidRPr="008F6B26" w:rsidRDefault="000E7B04" w:rsidP="00305E7D">
    <w:pPr>
      <w:pStyle w:val="Cabealho"/>
      <w:jc w:val="center"/>
      <w:rPr>
        <w:rFonts w:ascii="Calibri" w:hAnsi="Calibri" w:cs="Calibri"/>
      </w:rPr>
    </w:pPr>
    <w:r>
      <w:rPr>
        <w:rFonts w:ascii="Calibri" w:hAnsi="Calibri" w:cs="Calibri"/>
      </w:rPr>
      <w:t>Rua José Rosalino da Silva, nº 2</w:t>
    </w:r>
    <w:r w:rsidRPr="008F6B26">
      <w:rPr>
        <w:rFonts w:ascii="Calibri" w:hAnsi="Calibri" w:cs="Calibri"/>
      </w:rPr>
      <w:t xml:space="preserve"> – Centro – CEP 78.690-000 - Nova Xavantina/</w:t>
    </w:r>
    <w:proofErr w:type="gramStart"/>
    <w:r w:rsidRPr="008F6B26">
      <w:rPr>
        <w:rFonts w:ascii="Calibri" w:hAnsi="Calibri" w:cs="Calibri"/>
      </w:rPr>
      <w:t>MT</w:t>
    </w:r>
    <w:proofErr w:type="gramEnd"/>
    <w:r w:rsidRPr="008F6B26">
      <w:rPr>
        <w:rFonts w:ascii="Calibri" w:hAnsi="Calibri" w:cs="Calibri"/>
      </w:rPr>
      <w:t xml:space="preserve"> </w:t>
    </w:r>
  </w:p>
  <w:p w:rsidR="00305E7D" w:rsidRDefault="000E7B04" w:rsidP="00305E7D">
    <w:pPr>
      <w:pStyle w:val="Cabealho"/>
      <w:pBdr>
        <w:bottom w:val="double" w:sz="6" w:space="1" w:color="auto"/>
      </w:pBdr>
      <w:jc w:val="center"/>
      <w:rPr>
        <w:rFonts w:ascii="Calibri" w:hAnsi="Calibri" w:cs="Calibri"/>
        <w:sz w:val="10"/>
        <w:szCs w:val="10"/>
      </w:rPr>
    </w:pPr>
    <w:hyperlink r:id="rId2" w:history="1">
      <w:r w:rsidRPr="008F6B26">
        <w:rPr>
          <w:rStyle w:val="Hyperlink"/>
          <w:rFonts w:ascii="Calibri" w:hAnsi="Calibri" w:cs="Calibri"/>
        </w:rPr>
        <w:t>www.novaxavantina.mt.gov.br</w:t>
      </w:r>
    </w:hyperlink>
    <w:proofErr w:type="gramStart"/>
    <w:r w:rsidRPr="008F6B26">
      <w:rPr>
        <w:rFonts w:ascii="Calibri" w:hAnsi="Calibri" w:cs="Calibri"/>
      </w:rPr>
      <w:t xml:space="preserve">  </w:t>
    </w:r>
  </w:p>
  <w:p w:rsidR="00305E7D" w:rsidRPr="005B6E52" w:rsidRDefault="000E7B04" w:rsidP="00305E7D">
    <w:pPr>
      <w:pStyle w:val="Cabealho"/>
      <w:pBdr>
        <w:bottom w:val="double" w:sz="6" w:space="1" w:color="auto"/>
      </w:pBdr>
      <w:jc w:val="center"/>
      <w:rPr>
        <w:rFonts w:ascii="Calibri" w:hAnsi="Calibri" w:cs="Calibri"/>
        <w:sz w:val="10"/>
        <w:szCs w:val="10"/>
      </w:rPr>
    </w:pPr>
    <w:proofErr w:type="gramEnd"/>
  </w:p>
  <w:p w:rsidR="00305E7D" w:rsidRDefault="000E7B0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04"/>
    <w:rsid w:val="000E7B04"/>
    <w:rsid w:val="00572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0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7B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B04"/>
  </w:style>
  <w:style w:type="character" w:styleId="Hyperlink">
    <w:name w:val="Hyperlink"/>
    <w:basedOn w:val="Fontepargpadro"/>
    <w:unhideWhenUsed/>
    <w:rsid w:val="000E7B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04"/>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7B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B04"/>
  </w:style>
  <w:style w:type="character" w:styleId="Hyperlink">
    <w:name w:val="Hyperlink"/>
    <w:basedOn w:val="Fontepargpadro"/>
    <w:unhideWhenUsed/>
    <w:rsid w:val="000E7B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novaxavantina.m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2024-06-07T18:42:00Z</cp:lastPrinted>
  <dcterms:created xsi:type="dcterms:W3CDTF">2024-06-07T18:42:00Z</dcterms:created>
  <dcterms:modified xsi:type="dcterms:W3CDTF">2024-06-07T18:43:00Z</dcterms:modified>
</cp:coreProperties>
</file>