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F" w:rsidRPr="004365E2" w:rsidRDefault="006330FF" w:rsidP="006330FF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4365E2">
        <w:rPr>
          <w:rFonts w:cstheme="minorHAnsi"/>
          <w:b/>
          <w:sz w:val="20"/>
          <w:szCs w:val="20"/>
          <w:u w:val="single"/>
        </w:rPr>
        <w:t>PROJETO DE LEI MUNICIPAL Nº 102/2023</w:t>
      </w:r>
    </w:p>
    <w:p w:rsidR="006330FF" w:rsidRPr="004365E2" w:rsidRDefault="006330FF" w:rsidP="006330FF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6330FF" w:rsidRPr="004365E2" w:rsidRDefault="006330FF" w:rsidP="006330F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Cs/>
          <w:i/>
          <w:sz w:val="20"/>
          <w:szCs w:val="20"/>
        </w:rPr>
      </w:pPr>
      <w:r w:rsidRPr="004365E2">
        <w:rPr>
          <w:rFonts w:cstheme="minorHAnsi"/>
          <w:bCs/>
          <w:i/>
          <w:sz w:val="20"/>
          <w:szCs w:val="20"/>
        </w:rPr>
        <w:t xml:space="preserve">Dispõe sobre </w:t>
      </w:r>
      <w:r w:rsidRPr="004365E2">
        <w:rPr>
          <w:rFonts w:cstheme="minorHAnsi"/>
          <w:i/>
          <w:sz w:val="20"/>
          <w:szCs w:val="20"/>
        </w:rPr>
        <w:t xml:space="preserve">efeitos de paridade, integralidade e extensão ao cargo de professor de 24 horas, 26 horas, 28 horas, </w:t>
      </w:r>
      <w:r w:rsidRPr="004365E2">
        <w:rPr>
          <w:rFonts w:cstheme="minorHAnsi"/>
          <w:b/>
          <w:i/>
          <w:sz w:val="20"/>
          <w:szCs w:val="20"/>
        </w:rPr>
        <w:t>todos extintos</w:t>
      </w:r>
      <w:r w:rsidRPr="004365E2">
        <w:rPr>
          <w:rFonts w:cstheme="minorHAnsi"/>
          <w:i/>
          <w:sz w:val="20"/>
          <w:szCs w:val="20"/>
        </w:rPr>
        <w:t xml:space="preserve">, </w:t>
      </w:r>
      <w:r w:rsidRPr="004365E2">
        <w:rPr>
          <w:rFonts w:cstheme="minorHAnsi"/>
          <w:bCs/>
          <w:i/>
          <w:sz w:val="20"/>
          <w:szCs w:val="20"/>
        </w:rPr>
        <w:t>e dá</w:t>
      </w:r>
      <w:bookmarkStart w:id="0" w:name="_GoBack"/>
      <w:bookmarkEnd w:id="0"/>
      <w:r w:rsidRPr="004365E2">
        <w:rPr>
          <w:rFonts w:cstheme="minorHAnsi"/>
          <w:bCs/>
          <w:i/>
          <w:sz w:val="20"/>
          <w:szCs w:val="20"/>
        </w:rPr>
        <w:t xml:space="preserve"> outras providências.</w:t>
      </w:r>
    </w:p>
    <w:p w:rsidR="006330FF" w:rsidRPr="004365E2" w:rsidRDefault="006330FF" w:rsidP="006330F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Cs/>
          <w:i/>
          <w:sz w:val="20"/>
          <w:szCs w:val="20"/>
        </w:rPr>
      </w:pPr>
    </w:p>
    <w:p w:rsidR="006330FF" w:rsidRPr="004365E2" w:rsidRDefault="006330FF" w:rsidP="006330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 xml:space="preserve">O </w:t>
      </w:r>
      <w:r w:rsidRPr="004365E2">
        <w:rPr>
          <w:rFonts w:cstheme="minorHAnsi"/>
          <w:b/>
          <w:sz w:val="20"/>
          <w:szCs w:val="20"/>
        </w:rPr>
        <w:t>Prefeito do Município de Nova Xavantina</w:t>
      </w:r>
      <w:r w:rsidRPr="004365E2">
        <w:rPr>
          <w:rFonts w:cstheme="minorHAnsi"/>
          <w:sz w:val="20"/>
          <w:szCs w:val="20"/>
        </w:rPr>
        <w:t xml:space="preserve">, Estado do Mato Grosso, no uso de suas atribuições legais, </w:t>
      </w:r>
      <w:r w:rsidRPr="004365E2">
        <w:rPr>
          <w:rFonts w:cstheme="minorHAnsi"/>
          <w:b/>
          <w:bCs/>
          <w:sz w:val="20"/>
          <w:szCs w:val="20"/>
        </w:rPr>
        <w:t>FAZ SABER</w:t>
      </w:r>
      <w:r w:rsidRPr="004365E2">
        <w:rPr>
          <w:rFonts w:cstheme="minorHAnsi"/>
          <w:sz w:val="20"/>
          <w:szCs w:val="20"/>
        </w:rPr>
        <w:t xml:space="preserve">, que a Câmara Municipal aprovou e eu </w:t>
      </w:r>
      <w:r w:rsidRPr="004365E2">
        <w:rPr>
          <w:rFonts w:cstheme="minorHAnsi"/>
          <w:b/>
          <w:bCs/>
          <w:sz w:val="20"/>
          <w:szCs w:val="20"/>
        </w:rPr>
        <w:t xml:space="preserve">SANCIONO </w:t>
      </w:r>
      <w:r w:rsidRPr="004365E2">
        <w:rPr>
          <w:rFonts w:cstheme="minorHAnsi"/>
          <w:sz w:val="20"/>
          <w:szCs w:val="20"/>
        </w:rPr>
        <w:t>a seguinte Lei:</w:t>
      </w:r>
    </w:p>
    <w:p w:rsidR="006330FF" w:rsidRPr="004365E2" w:rsidRDefault="006330FF" w:rsidP="006330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spacing w:after="0" w:line="240" w:lineRule="auto"/>
        <w:jc w:val="both"/>
        <w:rPr>
          <w:rFonts w:cstheme="minorHAnsi"/>
          <w:color w:val="0000FF"/>
          <w:sz w:val="20"/>
          <w:szCs w:val="20"/>
        </w:rPr>
      </w:pPr>
      <w:r w:rsidRPr="004365E2">
        <w:rPr>
          <w:rFonts w:cstheme="minorHAnsi"/>
          <w:sz w:val="20"/>
          <w:szCs w:val="20"/>
        </w:rPr>
        <w:tab/>
      </w:r>
      <w:r w:rsidRPr="004365E2">
        <w:rPr>
          <w:rFonts w:cstheme="minorHAnsi"/>
          <w:sz w:val="20"/>
          <w:szCs w:val="20"/>
        </w:rPr>
        <w:tab/>
      </w:r>
      <w:r w:rsidRPr="004365E2">
        <w:rPr>
          <w:rFonts w:cstheme="minorHAnsi"/>
          <w:b/>
          <w:sz w:val="20"/>
          <w:szCs w:val="20"/>
        </w:rPr>
        <w:t>Art. 1º</w:t>
      </w:r>
      <w:r w:rsidRPr="004365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</w:t>
      </w:r>
      <w:r w:rsidRPr="004365E2">
        <w:rPr>
          <w:rFonts w:cstheme="minorHAnsi"/>
          <w:sz w:val="20"/>
          <w:szCs w:val="20"/>
        </w:rPr>
        <w:t xml:space="preserve">ara efeitos de paridade, integralidade e extensão ao cargo de professor de 24 horas, 26 horas, 28 horas, </w:t>
      </w:r>
      <w:r w:rsidRPr="004365E2">
        <w:rPr>
          <w:rFonts w:cstheme="minorHAnsi"/>
          <w:b/>
          <w:sz w:val="20"/>
          <w:szCs w:val="20"/>
        </w:rPr>
        <w:t>todos extintos</w:t>
      </w:r>
      <w:r w:rsidRPr="004365E2">
        <w:rPr>
          <w:rFonts w:cstheme="minorHAnsi"/>
          <w:sz w:val="20"/>
          <w:szCs w:val="20"/>
        </w:rPr>
        <w:t>, deve ser estruturado em linha horizontal de acesso, identificada por letras maiúsculas</w:t>
      </w:r>
      <w:r>
        <w:rPr>
          <w:rFonts w:cstheme="minorHAnsi"/>
          <w:color w:val="0000FF"/>
          <w:sz w:val="20"/>
          <w:szCs w:val="20"/>
        </w:rPr>
        <w:t>.</w:t>
      </w:r>
    </w:p>
    <w:p w:rsidR="006330FF" w:rsidRPr="004365E2" w:rsidRDefault="006330FF" w:rsidP="006330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widowControl w:val="0"/>
        <w:tabs>
          <w:tab w:val="left" w:pos="2268"/>
        </w:tabs>
        <w:suppressAutoHyphens/>
        <w:spacing w:after="0"/>
        <w:ind w:firstLine="1418"/>
        <w:jc w:val="both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>§ 1º As classes são estruturadas segundo a formação exigida para o provimento e para a progressão horizontal no cargo, de acordo com o seguinte:</w:t>
      </w:r>
    </w:p>
    <w:p w:rsidR="006330FF" w:rsidRPr="004365E2" w:rsidRDefault="006330FF" w:rsidP="006330FF">
      <w:pPr>
        <w:widowControl w:val="0"/>
        <w:tabs>
          <w:tab w:val="left" w:pos="709"/>
          <w:tab w:val="left" w:pos="1527"/>
          <w:tab w:val="left" w:pos="2268"/>
        </w:tabs>
        <w:suppressAutoHyphens/>
        <w:spacing w:after="0"/>
        <w:ind w:firstLine="1418"/>
        <w:jc w:val="both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 xml:space="preserve">I - </w:t>
      </w:r>
      <w:r w:rsidRPr="004365E2">
        <w:rPr>
          <w:rFonts w:cstheme="minorHAnsi"/>
          <w:b/>
          <w:sz w:val="20"/>
          <w:szCs w:val="20"/>
        </w:rPr>
        <w:t>Classe A</w:t>
      </w:r>
      <w:r w:rsidRPr="004365E2">
        <w:rPr>
          <w:rFonts w:cstheme="minorHAnsi"/>
          <w:sz w:val="20"/>
          <w:szCs w:val="20"/>
        </w:rPr>
        <w:t>: habilitação específica de nível médio - magistério;</w:t>
      </w:r>
    </w:p>
    <w:p w:rsidR="006330FF" w:rsidRPr="004365E2" w:rsidRDefault="006330FF" w:rsidP="006330FF">
      <w:pPr>
        <w:pStyle w:val="Corpodetexto"/>
        <w:widowControl w:val="0"/>
        <w:tabs>
          <w:tab w:val="left" w:pos="709"/>
          <w:tab w:val="left" w:pos="1560"/>
          <w:tab w:val="left" w:pos="2268"/>
        </w:tabs>
        <w:ind w:firstLine="1418"/>
        <w:rPr>
          <w:rFonts w:asciiTheme="minorHAnsi" w:hAnsiTheme="minorHAnsi" w:cstheme="minorHAnsi"/>
          <w:sz w:val="20"/>
        </w:rPr>
      </w:pPr>
      <w:r w:rsidRPr="004365E2">
        <w:rPr>
          <w:rFonts w:asciiTheme="minorHAnsi" w:hAnsiTheme="minorHAnsi" w:cstheme="minorHAnsi"/>
          <w:sz w:val="20"/>
        </w:rPr>
        <w:t xml:space="preserve">II - </w:t>
      </w:r>
      <w:r w:rsidRPr="004365E2">
        <w:rPr>
          <w:rFonts w:asciiTheme="minorHAnsi" w:hAnsiTheme="minorHAnsi" w:cstheme="minorHAnsi"/>
          <w:b/>
          <w:sz w:val="20"/>
        </w:rPr>
        <w:t>Classe B</w:t>
      </w:r>
      <w:r w:rsidRPr="004365E2">
        <w:rPr>
          <w:rFonts w:asciiTheme="minorHAnsi" w:hAnsiTheme="minorHAnsi" w:cstheme="minorHAnsi"/>
          <w:sz w:val="20"/>
        </w:rPr>
        <w:t>: habilitação específica de grau superior em nível de graduação, representado por licenciatura plena, específica da área de atuação;</w:t>
      </w:r>
    </w:p>
    <w:p w:rsidR="006330FF" w:rsidRPr="004365E2" w:rsidRDefault="006330FF" w:rsidP="006330FF">
      <w:pPr>
        <w:pStyle w:val="Corpodetexto"/>
        <w:widowControl w:val="0"/>
        <w:tabs>
          <w:tab w:val="left" w:pos="709"/>
          <w:tab w:val="left" w:pos="1560"/>
          <w:tab w:val="left" w:pos="2268"/>
        </w:tabs>
        <w:ind w:firstLine="1418"/>
        <w:rPr>
          <w:rFonts w:asciiTheme="minorHAnsi" w:hAnsiTheme="minorHAnsi" w:cstheme="minorHAnsi"/>
          <w:sz w:val="20"/>
        </w:rPr>
      </w:pPr>
      <w:r w:rsidRPr="004365E2">
        <w:rPr>
          <w:rFonts w:asciiTheme="minorHAnsi" w:hAnsiTheme="minorHAnsi" w:cstheme="minorHAnsi"/>
          <w:sz w:val="20"/>
        </w:rPr>
        <w:t xml:space="preserve">III - </w:t>
      </w:r>
      <w:r w:rsidRPr="004365E2">
        <w:rPr>
          <w:rFonts w:asciiTheme="minorHAnsi" w:hAnsiTheme="minorHAnsi" w:cstheme="minorHAnsi"/>
          <w:b/>
          <w:sz w:val="20"/>
        </w:rPr>
        <w:t>Classe C</w:t>
      </w:r>
      <w:r w:rsidRPr="004365E2">
        <w:rPr>
          <w:rFonts w:asciiTheme="minorHAnsi" w:hAnsiTheme="minorHAnsi" w:cstheme="minorHAnsi"/>
          <w:sz w:val="20"/>
        </w:rPr>
        <w:t xml:space="preserve">: habilitação específica de grau superior em nível de graduação, representado por licenciatura plena, com especialização </w:t>
      </w:r>
      <w:r w:rsidRPr="004365E2">
        <w:rPr>
          <w:rFonts w:asciiTheme="minorHAnsi" w:hAnsiTheme="minorHAnsi" w:cstheme="minorHAnsi"/>
          <w:i/>
          <w:sz w:val="20"/>
        </w:rPr>
        <w:t xml:space="preserve">latu sensu </w:t>
      </w:r>
      <w:r w:rsidRPr="004365E2">
        <w:rPr>
          <w:rFonts w:asciiTheme="minorHAnsi" w:hAnsiTheme="minorHAnsi" w:cstheme="minorHAnsi"/>
          <w:sz w:val="20"/>
        </w:rPr>
        <w:t>específica da área de atuação, atendendo às normas do Conselho Nacional de Educação;</w:t>
      </w:r>
    </w:p>
    <w:p w:rsidR="006330FF" w:rsidRPr="004365E2" w:rsidRDefault="006330FF" w:rsidP="006330FF">
      <w:pPr>
        <w:pStyle w:val="Corpodetexto"/>
        <w:widowControl w:val="0"/>
        <w:tabs>
          <w:tab w:val="left" w:pos="709"/>
          <w:tab w:val="left" w:pos="1560"/>
          <w:tab w:val="left" w:pos="2268"/>
        </w:tabs>
        <w:ind w:firstLine="1418"/>
        <w:rPr>
          <w:rFonts w:asciiTheme="minorHAnsi" w:hAnsiTheme="minorHAnsi" w:cstheme="minorHAnsi"/>
          <w:sz w:val="20"/>
        </w:rPr>
      </w:pPr>
      <w:r w:rsidRPr="004365E2">
        <w:rPr>
          <w:rFonts w:asciiTheme="minorHAnsi" w:hAnsiTheme="minorHAnsi" w:cstheme="minorHAnsi"/>
          <w:sz w:val="20"/>
        </w:rPr>
        <w:t xml:space="preserve">IV - </w:t>
      </w:r>
      <w:r w:rsidRPr="004365E2">
        <w:rPr>
          <w:rFonts w:asciiTheme="minorHAnsi" w:hAnsiTheme="minorHAnsi" w:cstheme="minorHAnsi"/>
          <w:b/>
          <w:sz w:val="20"/>
        </w:rPr>
        <w:t>Classe D</w:t>
      </w:r>
      <w:r w:rsidRPr="004365E2">
        <w:rPr>
          <w:rFonts w:asciiTheme="minorHAnsi" w:hAnsiTheme="minorHAnsi" w:cstheme="minorHAnsi"/>
          <w:sz w:val="20"/>
        </w:rPr>
        <w:t xml:space="preserve">: habilitação específica de grau superior em nível de graduação, representado por licenciatura plena, </w:t>
      </w:r>
      <w:r w:rsidRPr="004365E2">
        <w:rPr>
          <w:rFonts w:asciiTheme="minorHAnsi" w:hAnsiTheme="minorHAnsi" w:cstheme="minorHAnsi"/>
          <w:sz w:val="20"/>
          <w:lang w:val="pt-BR"/>
        </w:rPr>
        <w:t>mais</w:t>
      </w:r>
      <w:r w:rsidRPr="004365E2">
        <w:rPr>
          <w:rFonts w:asciiTheme="minorHAnsi" w:hAnsiTheme="minorHAnsi" w:cstheme="minorHAnsi"/>
          <w:sz w:val="20"/>
        </w:rPr>
        <w:t xml:space="preserve"> curso de mestrado reconhecido pelo MEC na área atuação do cargo de ingresso;</w:t>
      </w:r>
    </w:p>
    <w:p w:rsidR="006330FF" w:rsidRPr="004365E2" w:rsidRDefault="006330FF" w:rsidP="006330FF">
      <w:pPr>
        <w:pStyle w:val="Corpodetexto"/>
        <w:widowControl w:val="0"/>
        <w:tabs>
          <w:tab w:val="left" w:pos="709"/>
          <w:tab w:val="left" w:pos="1560"/>
          <w:tab w:val="left" w:pos="2268"/>
        </w:tabs>
        <w:ind w:firstLine="1418"/>
        <w:rPr>
          <w:rFonts w:asciiTheme="minorHAnsi" w:hAnsiTheme="minorHAnsi" w:cstheme="minorHAnsi"/>
          <w:sz w:val="20"/>
          <w:lang w:val="pt-BR"/>
        </w:rPr>
      </w:pPr>
      <w:r w:rsidRPr="004365E2">
        <w:rPr>
          <w:rFonts w:asciiTheme="minorHAnsi" w:hAnsiTheme="minorHAnsi" w:cstheme="minorHAnsi"/>
          <w:sz w:val="20"/>
        </w:rPr>
        <w:t xml:space="preserve">V - </w:t>
      </w:r>
      <w:r w:rsidRPr="004365E2">
        <w:rPr>
          <w:rFonts w:asciiTheme="minorHAnsi" w:hAnsiTheme="minorHAnsi" w:cstheme="minorHAnsi"/>
          <w:b/>
          <w:sz w:val="20"/>
        </w:rPr>
        <w:t>Classe E</w:t>
      </w:r>
      <w:r w:rsidRPr="004365E2">
        <w:rPr>
          <w:rFonts w:asciiTheme="minorHAnsi" w:hAnsiTheme="minorHAnsi" w:cstheme="minorHAnsi"/>
          <w:sz w:val="20"/>
        </w:rPr>
        <w:t xml:space="preserve">: habilitação específica de grau superior em nível de graduação, representado por licenciatura plena, </w:t>
      </w:r>
      <w:r w:rsidRPr="004365E2">
        <w:rPr>
          <w:rFonts w:asciiTheme="minorHAnsi" w:hAnsiTheme="minorHAnsi" w:cstheme="minorHAnsi"/>
          <w:sz w:val="20"/>
          <w:lang w:val="pt-BR"/>
        </w:rPr>
        <w:t>mais</w:t>
      </w:r>
      <w:r w:rsidRPr="004365E2">
        <w:rPr>
          <w:rFonts w:asciiTheme="minorHAnsi" w:hAnsiTheme="minorHAnsi" w:cstheme="minorHAnsi"/>
          <w:sz w:val="20"/>
        </w:rPr>
        <w:t xml:space="preserve"> curso de doutorado </w:t>
      </w:r>
      <w:r w:rsidRPr="004365E2">
        <w:rPr>
          <w:rFonts w:asciiTheme="minorHAnsi" w:hAnsiTheme="minorHAnsi" w:cstheme="minorHAnsi"/>
          <w:sz w:val="20"/>
          <w:lang w:val="pt-BR"/>
        </w:rPr>
        <w:t xml:space="preserve">reconhecido pelo MEC </w:t>
      </w:r>
      <w:r w:rsidRPr="004365E2">
        <w:rPr>
          <w:rFonts w:asciiTheme="minorHAnsi" w:hAnsiTheme="minorHAnsi" w:cstheme="minorHAnsi"/>
          <w:sz w:val="20"/>
        </w:rPr>
        <w:t>na área de educação relacionada com a habilitação específica da área de atuação do cargo.</w:t>
      </w: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>§ 2º</w:t>
      </w:r>
      <w:r w:rsidRPr="004365E2">
        <w:rPr>
          <w:rFonts w:cstheme="minorHAnsi"/>
          <w:b/>
          <w:sz w:val="20"/>
          <w:szCs w:val="20"/>
        </w:rPr>
        <w:t xml:space="preserve"> </w:t>
      </w:r>
      <w:r w:rsidRPr="004365E2">
        <w:rPr>
          <w:rFonts w:cstheme="minorHAnsi"/>
          <w:sz w:val="20"/>
          <w:szCs w:val="20"/>
        </w:rPr>
        <w:t>Cada classe desdobra-se em níveis, indicados por algarismos arábicos de 01 a 12 que constituem a linha vertical de progressão.</w:t>
      </w:r>
    </w:p>
    <w:p w:rsidR="006330FF" w:rsidRPr="004365E2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  <w:r w:rsidRPr="004365E2">
        <w:rPr>
          <w:rFonts w:cstheme="minorHAnsi"/>
          <w:b/>
          <w:sz w:val="20"/>
          <w:szCs w:val="20"/>
        </w:rPr>
        <w:t>Art. 2º</w:t>
      </w:r>
      <w:r w:rsidRPr="004365E2">
        <w:rPr>
          <w:rFonts w:cstheme="minorHAnsi"/>
          <w:sz w:val="20"/>
          <w:szCs w:val="20"/>
        </w:rPr>
        <w:t xml:space="preserve"> As tabelas salariais do cargo de professor de 24 horas, 26 horas e 28 horas, serão de acordo com os </w:t>
      </w:r>
      <w:r>
        <w:rPr>
          <w:rFonts w:cstheme="minorHAnsi"/>
          <w:sz w:val="20"/>
          <w:szCs w:val="20"/>
        </w:rPr>
        <w:t>A</w:t>
      </w:r>
      <w:r w:rsidRPr="004365E2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ex</w:t>
      </w:r>
      <w:r w:rsidRPr="004365E2">
        <w:rPr>
          <w:rFonts w:cstheme="minorHAnsi"/>
          <w:sz w:val="20"/>
          <w:szCs w:val="20"/>
        </w:rPr>
        <w:t xml:space="preserve">os I, </w:t>
      </w:r>
      <w:r>
        <w:rPr>
          <w:rFonts w:cstheme="minorHAnsi"/>
          <w:sz w:val="20"/>
          <w:szCs w:val="20"/>
        </w:rPr>
        <w:t>I</w:t>
      </w:r>
      <w:r w:rsidRPr="004365E2">
        <w:rPr>
          <w:rFonts w:cstheme="minorHAnsi"/>
          <w:sz w:val="20"/>
          <w:szCs w:val="20"/>
        </w:rPr>
        <w:t xml:space="preserve">I, e </w:t>
      </w:r>
      <w:r>
        <w:rPr>
          <w:rFonts w:cstheme="minorHAnsi"/>
          <w:sz w:val="20"/>
          <w:szCs w:val="20"/>
        </w:rPr>
        <w:t>III</w:t>
      </w:r>
      <w:r w:rsidRPr="004365E2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que integram a presente lei:</w:t>
      </w: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4365E2">
        <w:rPr>
          <w:rFonts w:cstheme="minorHAnsi"/>
          <w:b/>
          <w:sz w:val="20"/>
          <w:szCs w:val="20"/>
        </w:rPr>
        <w:t xml:space="preserve">Art. </w:t>
      </w:r>
      <w:r>
        <w:rPr>
          <w:rFonts w:cstheme="minorHAnsi"/>
          <w:b/>
          <w:sz w:val="20"/>
          <w:szCs w:val="20"/>
        </w:rPr>
        <w:t>3</w:t>
      </w:r>
      <w:r w:rsidRPr="004365E2">
        <w:rPr>
          <w:rFonts w:cstheme="minorHAnsi"/>
          <w:b/>
          <w:sz w:val="20"/>
          <w:szCs w:val="20"/>
        </w:rPr>
        <w:t>º</w:t>
      </w:r>
      <w:r w:rsidRPr="004365E2">
        <w:rPr>
          <w:rFonts w:cstheme="minorHAnsi"/>
          <w:sz w:val="20"/>
          <w:szCs w:val="20"/>
        </w:rPr>
        <w:t xml:space="preserve"> Esta Lei entra em vigor na data da sua publicação.</w:t>
      </w: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ab/>
      </w:r>
      <w:r w:rsidRPr="004365E2">
        <w:rPr>
          <w:rFonts w:cstheme="minorHAnsi"/>
          <w:sz w:val="20"/>
          <w:szCs w:val="20"/>
        </w:rPr>
        <w:tab/>
      </w:r>
    </w:p>
    <w:p w:rsidR="006330FF" w:rsidRPr="004365E2" w:rsidRDefault="006330FF" w:rsidP="006330FF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4365E2">
        <w:rPr>
          <w:rFonts w:cstheme="minorHAnsi"/>
          <w:b/>
          <w:sz w:val="20"/>
          <w:szCs w:val="20"/>
        </w:rPr>
        <w:t xml:space="preserve">Art. </w:t>
      </w:r>
      <w:r>
        <w:rPr>
          <w:rFonts w:cstheme="minorHAnsi"/>
          <w:b/>
          <w:sz w:val="20"/>
          <w:szCs w:val="20"/>
        </w:rPr>
        <w:t>4</w:t>
      </w:r>
      <w:r w:rsidRPr="004365E2">
        <w:rPr>
          <w:rFonts w:cstheme="minorHAnsi"/>
          <w:b/>
          <w:sz w:val="20"/>
          <w:szCs w:val="20"/>
        </w:rPr>
        <w:t>º</w:t>
      </w:r>
      <w:r w:rsidRPr="004365E2">
        <w:rPr>
          <w:rFonts w:cstheme="minorHAnsi"/>
          <w:sz w:val="20"/>
          <w:szCs w:val="20"/>
        </w:rPr>
        <w:t xml:space="preserve"> Revogam-se as disposições em contrário.</w:t>
      </w: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 xml:space="preserve">Palácio dos Pioneiros, Gabinete do Prefeito Municipal, Nova Xavantina/MT, </w:t>
      </w:r>
      <w:proofErr w:type="gramStart"/>
      <w:r w:rsidRPr="004365E2">
        <w:rPr>
          <w:rFonts w:cstheme="minorHAnsi"/>
          <w:sz w:val="20"/>
          <w:szCs w:val="20"/>
        </w:rPr>
        <w:t>6</w:t>
      </w:r>
      <w:proofErr w:type="gramEnd"/>
      <w:r w:rsidRPr="004365E2">
        <w:rPr>
          <w:rFonts w:cstheme="minorHAnsi"/>
          <w:sz w:val="20"/>
          <w:szCs w:val="20"/>
        </w:rPr>
        <w:t xml:space="preserve"> de novembro de 2023.</w:t>
      </w: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365E2">
        <w:rPr>
          <w:rFonts w:cstheme="minorHAnsi"/>
          <w:b/>
          <w:sz w:val="20"/>
          <w:szCs w:val="20"/>
        </w:rPr>
        <w:t>João Machado Neto</w:t>
      </w:r>
      <w:r w:rsidRPr="004365E2">
        <w:rPr>
          <w:rFonts w:cstheme="minorHAnsi"/>
          <w:sz w:val="20"/>
          <w:szCs w:val="20"/>
        </w:rPr>
        <w:t xml:space="preserve"> – João Bang</w:t>
      </w:r>
    </w:p>
    <w:p w:rsidR="006330FF" w:rsidRPr="004365E2" w:rsidRDefault="006330FF" w:rsidP="006330F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>Prefeito Municipal</w:t>
      </w: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URGÊNCIA ESPECIAL</w:t>
      </w: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widowControl w:val="0"/>
        <w:tabs>
          <w:tab w:val="left" w:pos="1167"/>
          <w:tab w:val="left" w:pos="2268"/>
        </w:tabs>
        <w:spacing w:after="0"/>
        <w:ind w:firstLine="1418"/>
        <w:jc w:val="both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jc w:val="center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lastRenderedPageBreak/>
        <w:t>ANEXO I</w:t>
      </w:r>
    </w:p>
    <w:p w:rsidR="006330FF" w:rsidRPr="004365E2" w:rsidRDefault="006330FF" w:rsidP="006330F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4365E2">
        <w:rPr>
          <w:rFonts w:eastAsia="Arial Unicode MS" w:cstheme="minorHAnsi"/>
          <w:sz w:val="20"/>
          <w:szCs w:val="20"/>
        </w:rPr>
        <w:t>“A” para a letra “B”, (coeficiente em, 1.5) da letra “B” para a letra “C” (coeficiente em 1.2), “C” para a letra “D” (coeficiente em 1.3), e “D” para a letra “E” (coeficiente em 1.3</w:t>
      </w:r>
      <w:proofErr w:type="gramStart"/>
      <w:r w:rsidRPr="004365E2">
        <w:rPr>
          <w:rFonts w:eastAsia="Arial Unicode MS" w:cstheme="minorHAnsi"/>
          <w:sz w:val="20"/>
          <w:szCs w:val="20"/>
        </w:rPr>
        <w:t>)</w:t>
      </w:r>
      <w:proofErr w:type="gramEnd"/>
    </w:p>
    <w:p w:rsidR="006330FF" w:rsidRPr="004365E2" w:rsidRDefault="006330FF" w:rsidP="006330FF">
      <w:pPr>
        <w:rPr>
          <w:rFonts w:cstheme="minorHAnsi"/>
          <w:sz w:val="20"/>
          <w:szCs w:val="20"/>
        </w:rPr>
      </w:pPr>
      <w:r w:rsidRPr="004365E2">
        <w:rPr>
          <w:rFonts w:cstheme="minorHAnsi"/>
          <w:noProof/>
          <w:sz w:val="20"/>
          <w:szCs w:val="20"/>
          <w:lang w:eastAsia="pt-BR"/>
        </w:rPr>
        <w:drawing>
          <wp:inline distT="0" distB="0" distL="0" distR="0" wp14:anchorId="76E08B77" wp14:editId="1F534CB8">
            <wp:extent cx="5400040" cy="3021877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FF" w:rsidRPr="004365E2" w:rsidRDefault="006330FF" w:rsidP="006330FF">
      <w:pPr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jc w:val="center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>ANEXO II</w:t>
      </w:r>
    </w:p>
    <w:p w:rsidR="006330FF" w:rsidRPr="004365E2" w:rsidRDefault="006330FF" w:rsidP="006330F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4365E2">
        <w:rPr>
          <w:rFonts w:eastAsia="Arial Unicode MS" w:cstheme="minorHAnsi"/>
          <w:sz w:val="20"/>
          <w:szCs w:val="20"/>
        </w:rPr>
        <w:t>“A” para a letra “B”, (coeficiente em, 1.5) da letra “B” para a letra “C” (coeficiente em 1.2), “C” para a letra “D” (coeficiente em 1.3), e “D” para a letra “E” (coeficiente em 1.3</w:t>
      </w:r>
      <w:proofErr w:type="gramStart"/>
      <w:r w:rsidRPr="004365E2">
        <w:rPr>
          <w:rFonts w:eastAsia="Arial Unicode MS" w:cstheme="minorHAnsi"/>
          <w:sz w:val="20"/>
          <w:szCs w:val="20"/>
        </w:rPr>
        <w:t>)</w:t>
      </w:r>
      <w:proofErr w:type="gramEnd"/>
    </w:p>
    <w:p w:rsidR="006330FF" w:rsidRPr="004365E2" w:rsidRDefault="006330FF" w:rsidP="006330FF">
      <w:pPr>
        <w:rPr>
          <w:rFonts w:cstheme="minorHAnsi"/>
          <w:sz w:val="20"/>
          <w:szCs w:val="20"/>
        </w:rPr>
      </w:pPr>
      <w:r w:rsidRPr="004365E2">
        <w:rPr>
          <w:rFonts w:cstheme="minorHAnsi"/>
          <w:noProof/>
          <w:sz w:val="20"/>
          <w:szCs w:val="20"/>
          <w:lang w:eastAsia="pt-BR"/>
        </w:rPr>
        <w:drawing>
          <wp:inline distT="0" distB="0" distL="0" distR="0" wp14:anchorId="59B2E551" wp14:editId="3F14304A">
            <wp:extent cx="5400040" cy="301293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FF" w:rsidRPr="004365E2" w:rsidRDefault="006330FF" w:rsidP="006330FF">
      <w:pPr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jc w:val="center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lastRenderedPageBreak/>
        <w:t xml:space="preserve">ANEXO </w:t>
      </w:r>
      <w:r>
        <w:rPr>
          <w:rFonts w:cstheme="minorHAnsi"/>
          <w:sz w:val="20"/>
          <w:szCs w:val="20"/>
        </w:rPr>
        <w:t>II</w:t>
      </w:r>
      <w:r w:rsidRPr="004365E2">
        <w:rPr>
          <w:rFonts w:cstheme="minorHAnsi"/>
          <w:sz w:val="20"/>
          <w:szCs w:val="20"/>
        </w:rPr>
        <w:t>I</w:t>
      </w:r>
    </w:p>
    <w:p w:rsidR="006330FF" w:rsidRPr="004365E2" w:rsidRDefault="006330FF" w:rsidP="006330F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4365E2">
        <w:rPr>
          <w:rFonts w:eastAsia="Arial Unicode MS" w:cstheme="minorHAnsi"/>
          <w:sz w:val="20"/>
          <w:szCs w:val="20"/>
        </w:rPr>
        <w:t>“A” para a letra “B”, (coeficiente em, 1.5) da letra “B” para a letra “C” (coeficiente em 1.2), “C” para a letra “D” (coeficiente em 1.3), e “D” para a letra “E” (coeficiente em 1.3</w:t>
      </w:r>
      <w:proofErr w:type="gramStart"/>
      <w:r w:rsidRPr="004365E2">
        <w:rPr>
          <w:rFonts w:eastAsia="Arial Unicode MS" w:cstheme="minorHAnsi"/>
          <w:sz w:val="20"/>
          <w:szCs w:val="20"/>
        </w:rPr>
        <w:t>)</w:t>
      </w:r>
      <w:proofErr w:type="gramEnd"/>
    </w:p>
    <w:p w:rsidR="006330FF" w:rsidRPr="004365E2" w:rsidRDefault="006330FF" w:rsidP="006330FF">
      <w:pPr>
        <w:rPr>
          <w:rFonts w:cstheme="minorHAnsi"/>
          <w:sz w:val="20"/>
          <w:szCs w:val="20"/>
        </w:rPr>
      </w:pPr>
      <w:r w:rsidRPr="004365E2">
        <w:rPr>
          <w:rFonts w:cstheme="minorHAnsi"/>
          <w:noProof/>
          <w:sz w:val="20"/>
          <w:szCs w:val="20"/>
          <w:lang w:eastAsia="pt-BR"/>
        </w:rPr>
        <w:drawing>
          <wp:inline distT="0" distB="0" distL="0" distR="0" wp14:anchorId="048D54E3" wp14:editId="3CFE3F50">
            <wp:extent cx="5400040" cy="301293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</w:p>
    <w:p w:rsidR="006330FF" w:rsidRPr="004365E2" w:rsidRDefault="006330FF" w:rsidP="006330FF">
      <w:pPr>
        <w:spacing w:after="0" w:line="240" w:lineRule="auto"/>
        <w:rPr>
          <w:rFonts w:cstheme="minorHAnsi"/>
          <w:sz w:val="20"/>
          <w:szCs w:val="20"/>
        </w:rPr>
      </w:pPr>
      <w:r w:rsidRPr="004365E2">
        <w:rPr>
          <w:rFonts w:cstheme="minorHAnsi"/>
          <w:sz w:val="20"/>
          <w:szCs w:val="20"/>
        </w:rPr>
        <w:tab/>
      </w:r>
      <w:r w:rsidRPr="004365E2">
        <w:rPr>
          <w:rFonts w:cstheme="minorHAnsi"/>
          <w:sz w:val="20"/>
          <w:szCs w:val="20"/>
        </w:rPr>
        <w:tab/>
      </w:r>
    </w:p>
    <w:p w:rsidR="00AA3864" w:rsidRDefault="00AA3864"/>
    <w:sectPr w:rsidR="00AA3864" w:rsidSect="004D2221">
      <w:headerReference w:type="default" r:id="rId8"/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21" w:rsidRDefault="006330FF" w:rsidP="004D2221">
    <w:pPr>
      <w:pStyle w:val="Cabealho"/>
      <w:tabs>
        <w:tab w:val="left" w:pos="3870"/>
        <w:tab w:val="center" w:pos="4819"/>
      </w:tabs>
      <w:rPr>
        <w:noProof/>
      </w:rPr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2AB05" wp14:editId="564790CB">
          <wp:simplePos x="0" y="0"/>
          <wp:positionH relativeFrom="margin">
            <wp:posOffset>2277110</wp:posOffset>
          </wp:positionH>
          <wp:positionV relativeFrom="paragraph">
            <wp:posOffset>-171450</wp:posOffset>
          </wp:positionV>
          <wp:extent cx="873125" cy="809625"/>
          <wp:effectExtent l="0" t="0" r="3175" b="9525"/>
          <wp:wrapSquare wrapText="bothSides"/>
          <wp:docPr id="6" name="Imagem 6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221" w:rsidRDefault="006330FF" w:rsidP="004D2221">
    <w:pPr>
      <w:pStyle w:val="Cabealho"/>
      <w:jc w:val="center"/>
    </w:pPr>
    <w:r>
      <w:rPr>
        <w:b/>
      </w:rPr>
      <w:t xml:space="preserve"> </w:t>
    </w:r>
    <w:r>
      <w:rPr>
        <w:noProof/>
      </w:rPr>
      <w:t xml:space="preserve"> </w:t>
    </w:r>
  </w:p>
  <w:p w:rsidR="004D2221" w:rsidRDefault="006330FF" w:rsidP="004D2221">
    <w:pPr>
      <w:pStyle w:val="Cabealho"/>
      <w:jc w:val="center"/>
    </w:pPr>
  </w:p>
  <w:p w:rsidR="004D2221" w:rsidRPr="007B79FD" w:rsidRDefault="006330FF" w:rsidP="004D2221">
    <w:pPr>
      <w:pStyle w:val="Cabealho"/>
      <w:jc w:val="center"/>
      <w:rPr>
        <w:rFonts w:ascii="Calibri" w:hAnsi="Calibri" w:cs="Calibri"/>
        <w:b/>
        <w:sz w:val="12"/>
        <w:szCs w:val="12"/>
      </w:rPr>
    </w:pPr>
  </w:p>
  <w:p w:rsidR="004D2221" w:rsidRPr="00BA356B" w:rsidRDefault="006330FF" w:rsidP="004D2221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4D2221" w:rsidRPr="00BA356B" w:rsidRDefault="006330FF" w:rsidP="004D2221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4D2221" w:rsidRPr="008F6B26" w:rsidRDefault="006330FF" w:rsidP="004D2221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José Rosalino</w:t>
    </w:r>
    <w:r>
      <w:rPr>
        <w:rFonts w:ascii="Calibri" w:hAnsi="Calibri" w:cs="Calibri"/>
      </w:rPr>
      <w:t xml:space="preserve"> da Silva, n</w:t>
    </w:r>
    <w:r>
      <w:rPr>
        <w:rFonts w:ascii="Calibri" w:hAnsi="Calibri" w:cs="Calibri"/>
      </w:rPr>
      <w:t>º 2</w:t>
    </w:r>
    <w:r w:rsidRPr="008F6B26">
      <w:rPr>
        <w:rFonts w:ascii="Calibri" w:hAnsi="Calibri" w:cs="Calibri"/>
      </w:rPr>
      <w:t xml:space="preserve"> – Centro – CEP 78.690-000 - Nova Xavantina/</w:t>
    </w:r>
    <w:proofErr w:type="gramStart"/>
    <w:r w:rsidRPr="008F6B26">
      <w:rPr>
        <w:rFonts w:ascii="Calibri" w:hAnsi="Calibri" w:cs="Calibri"/>
      </w:rPr>
      <w:t>MT</w:t>
    </w:r>
    <w:proofErr w:type="gramEnd"/>
  </w:p>
  <w:p w:rsidR="004D2221" w:rsidRPr="008F6B26" w:rsidRDefault="006330FF" w:rsidP="004D2221">
    <w:pPr>
      <w:pStyle w:val="Cabealho"/>
      <w:jc w:val="center"/>
      <w:rPr>
        <w:rFonts w:ascii="Calibri" w:hAnsi="Calibri" w:cs="Calibri"/>
      </w:rPr>
    </w:pPr>
    <w:hyperlink r:id="rId2" w:history="1">
      <w:r w:rsidRPr="008F6B26">
        <w:rPr>
          <w:rStyle w:val="Hyperlink"/>
          <w:rFonts w:ascii="Calibri" w:hAnsi="Calibri" w:cs="Calibri"/>
        </w:rPr>
        <w:t>www.novaxavantina.mt.gov.br</w:t>
      </w:r>
    </w:hyperlink>
  </w:p>
  <w:p w:rsidR="004D2221" w:rsidRPr="00744098" w:rsidRDefault="006330FF" w:rsidP="004D2221">
    <w:pPr>
      <w:pStyle w:val="Cabealho"/>
      <w:pBdr>
        <w:bottom w:val="double" w:sz="6" w:space="1" w:color="auto"/>
      </w:pBdr>
      <w:jc w:val="center"/>
      <w:rPr>
        <w:b/>
        <w:sz w:val="24"/>
        <w:szCs w:val="24"/>
      </w:rPr>
    </w:pPr>
  </w:p>
  <w:p w:rsidR="004D2221" w:rsidRDefault="006330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FF"/>
    <w:rsid w:val="006330FF"/>
    <w:rsid w:val="00A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330FF"/>
    <w:pPr>
      <w:suppressAutoHyphens/>
      <w:spacing w:before="-1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6330F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unhideWhenUsed/>
    <w:rsid w:val="00633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0FF"/>
  </w:style>
  <w:style w:type="character" w:styleId="Hyperlink">
    <w:name w:val="Hyperlink"/>
    <w:basedOn w:val="Fontepargpadro"/>
    <w:unhideWhenUsed/>
    <w:rsid w:val="006330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330FF"/>
    <w:pPr>
      <w:suppressAutoHyphens/>
      <w:spacing w:before="-1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6330F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unhideWhenUsed/>
    <w:rsid w:val="00633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0FF"/>
  </w:style>
  <w:style w:type="character" w:styleId="Hyperlink">
    <w:name w:val="Hyperlink"/>
    <w:basedOn w:val="Fontepargpadro"/>
    <w:unhideWhenUsed/>
    <w:rsid w:val="006330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2023-12-08T15:12:00Z</cp:lastPrinted>
  <dcterms:created xsi:type="dcterms:W3CDTF">2023-12-08T15:11:00Z</dcterms:created>
  <dcterms:modified xsi:type="dcterms:W3CDTF">2023-12-08T15:22:00Z</dcterms:modified>
</cp:coreProperties>
</file>