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5B0EC" w14:textId="77777777" w:rsidR="00BD0FA2" w:rsidRDefault="00BD0FA2" w:rsidP="00BD0FA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C213237" w14:textId="77777777" w:rsidR="00BD0FA2" w:rsidRDefault="00BD0FA2" w:rsidP="00BD0FA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09031B6" w14:textId="77777777" w:rsidR="00BD0FA2" w:rsidRDefault="00BD0FA2" w:rsidP="00BD0FA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6CFE2C3" w14:textId="77777777" w:rsidR="00BD0FA2" w:rsidRDefault="00BD0FA2" w:rsidP="00BD0FA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REQUERIMENTO Nº 011/2025</w:t>
      </w:r>
    </w:p>
    <w:p w14:paraId="203B5644" w14:textId="77777777" w:rsidR="00BD0FA2" w:rsidRDefault="00BD0FA2" w:rsidP="00BD0FA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AUTOR: ELIAS BUENO DE SOUZA</w:t>
      </w:r>
    </w:p>
    <w:p w14:paraId="1F693942" w14:textId="77777777" w:rsidR="00BD0FA2" w:rsidRDefault="00BD0FA2" w:rsidP="00BD0FA2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22C6688D" w14:textId="77777777" w:rsidR="00BD0FA2" w:rsidRDefault="00BD0FA2" w:rsidP="00BD0FA2">
      <w:pPr>
        <w:spacing w:after="0" w:line="240" w:lineRule="auto"/>
        <w:ind w:firstLine="993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30A5BF51" w14:textId="77777777" w:rsidR="00BD0FA2" w:rsidRDefault="00BD0FA2" w:rsidP="00BD0FA2">
      <w:pPr>
        <w:spacing w:after="0" w:line="240" w:lineRule="auto"/>
        <w:ind w:firstLine="993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61A954F3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O Vereador que este subscreve, no uso de suas atribuições legais e regimentais, com fundamento nos </w:t>
      </w:r>
      <w:proofErr w:type="spellStart"/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arts</w:t>
      </w:r>
      <w:proofErr w:type="spellEnd"/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. 29 e 31 da Constituição Federal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, no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art. 49, X da CF (aplicado por simetria)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e nas normas regimentais desta Casa, requer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, após ouvido o Plenário, que sejam </w:t>
      </w:r>
      <w:proofErr w:type="gramStart"/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oficiado</w:t>
      </w:r>
      <w:proofErr w:type="gramEnd"/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o Poder Executivo e a Secretaria Municipal de Educação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, para que prestem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informações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acerca das providências adotadas em atendimento à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Notificação Recomendatória nº 04/2025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, expedida pela 1ª Promotoria de Justiça Cível de Nova Xavantina/MPMT, referente às políticas públicas de educação inclusiva.</w:t>
      </w:r>
    </w:p>
    <w:p w14:paraId="382CD5E7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Assim, diante das recomendações ministeriais e do dever constitucional de assegurar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educação inclusiva e atendimento educacional especializado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(art. 208, III, da CF; </w:t>
      </w:r>
      <w:proofErr w:type="spellStart"/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arts</w:t>
      </w:r>
      <w:proofErr w:type="spellEnd"/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. 4º e 59 da LDB; Lei nº 10.098/2000; Decreto nº 5.296/2004; Decreto nº 7.611/2011), solicita-se que seja informado:</w:t>
      </w:r>
    </w:p>
    <w:p w14:paraId="2B16E0C7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 – </w:t>
      </w:r>
      <w:proofErr w:type="gramStart"/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</w:t>
      </w:r>
      <w:proofErr w:type="gramEnd"/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há elaboração de legislação específica sobre educação inclusiva e sua previsão de envio à Câmara;</w:t>
      </w:r>
    </w:p>
    <w:p w14:paraId="27B9EE50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II – </w:t>
      </w:r>
      <w:proofErr w:type="gramStart"/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a</w:t>
      </w:r>
      <w:proofErr w:type="gramEnd"/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situação das salas de Atendimento Educacional Especializado, unidades contempladas e planejamento de expansão;</w:t>
      </w:r>
    </w:p>
    <w:p w14:paraId="22F8397F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III – 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a existência, distribuição e previsão de novas contratações de profissionais especializados;</w:t>
      </w:r>
    </w:p>
    <w:p w14:paraId="27C28D16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IV –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as</w:t>
      </w:r>
      <w:proofErr w:type="gramEnd"/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ações de formação continuada de profissionais para atendimento inclusivo;</w:t>
      </w:r>
    </w:p>
    <w:p w14:paraId="6DAB5790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V –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a</w:t>
      </w:r>
      <w:proofErr w:type="gramEnd"/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existência de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materiais e recursos adaptados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: itens já adquiridos e previsão de novas aquisições;</w:t>
      </w:r>
    </w:p>
    <w:p w14:paraId="614B0F98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VI – </w:t>
      </w:r>
      <w:proofErr w:type="gramStart"/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a</w:t>
      </w:r>
      <w:proofErr w:type="gramEnd"/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acessibilidade nas escolas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: escolas adequadas, pendências, cronograma de obras e manutenção de equipamentos.</w:t>
      </w:r>
    </w:p>
    <w:p w14:paraId="17A223CC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VII – a forma de acesso à transparência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: previsão de disponibilização dos dados da educação inclusiva no portal oficial.</w:t>
      </w:r>
    </w:p>
    <w:p w14:paraId="4243F9F6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Anexa-se cópia da Notificação Recomendatória para ciência e providências.</w:t>
      </w:r>
    </w:p>
    <w:p w14:paraId="44D93CB1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CFA2279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JUSTIFICATIVA</w:t>
      </w:r>
    </w:p>
    <w:p w14:paraId="03096370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O presente requerimento fundamenta-se no dever institucional do Poder Legislativo de exercer o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controle externo e a fiscalização das políticas públicas </w:t>
      </w:r>
    </w:p>
    <w:p w14:paraId="1A386D3F" w14:textId="77777777" w:rsidR="00BD0FA2" w:rsidRDefault="00BD0FA2" w:rsidP="00BD0FA2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municipais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, especialmente nas áreas essenciais de atendimento aos direitos fundamentais.</w:t>
      </w:r>
    </w:p>
    <w:p w14:paraId="01C3CE27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A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Notificação Recomendatória nº 04/2025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aponta a necessidade de estruturação, planejamento e adequação das ações municipais voltadas à educação 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lastRenderedPageBreak/>
        <w:t>inclusiva, matéria de alta relevância social e constitucional. Cumpre ao Parlamento Municipal verificar o andamento dessas providências, inclusive para acompanhar a execução das metas do PPA, a compatibilidade orçamentária e a eficiência da política educacional, assegurando transparência e efetividade nas ações públicas.</w:t>
      </w:r>
    </w:p>
    <w:p w14:paraId="4FC8647E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Além disso, o atendimento educacional especializado e a acessibilidade constituem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lang w:eastAsia="pt-BR"/>
          <w14:ligatures w14:val="none"/>
        </w:rPr>
        <w:t>direitos assegurados pela Constituição Federal, pela LDB e pela legislação de proteção às pessoas com deficiência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, de modo que a ausência de tais serviços pode implicar violação direta a direitos fundamentais, bem como gerar responsabilidades ao Município.</w:t>
      </w:r>
    </w:p>
    <w:p w14:paraId="55C403B3" w14:textId="77777777" w:rsidR="00BD0FA2" w:rsidRDefault="00BD0FA2" w:rsidP="00BD0FA2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Assim, a solicitação das informações permitirá ao Legislativo acompanhar as medidas adotadas, colaborar com o aprimoramento da política pública e garantir o cumprimento das normas federais e das recomendações ministeriais.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Assim, peço o apoio dos nobres Pares desta Casa de Leis para a aprovação deste nosso Requerimento.</w:t>
      </w:r>
    </w:p>
    <w:p w14:paraId="5BCED745" w14:textId="77777777" w:rsidR="00BD0FA2" w:rsidRDefault="00BD0FA2" w:rsidP="00BD0FA2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29256BD4" w14:textId="77777777" w:rsidR="00BD0FA2" w:rsidRDefault="00BD0FA2" w:rsidP="00BD0FA2">
      <w:pPr>
        <w:spacing w:after="0" w:line="276" w:lineRule="auto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BA65DDD" w14:textId="77777777" w:rsidR="00BD0FA2" w:rsidRDefault="00BD0FA2" w:rsidP="00BD0FA2">
      <w:pPr>
        <w:spacing w:after="0" w:line="276" w:lineRule="auto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86BA374" w14:textId="77777777" w:rsidR="00BD0FA2" w:rsidRDefault="00BD0FA2" w:rsidP="00BD0FA2">
      <w:pPr>
        <w:spacing w:after="0" w:line="240" w:lineRule="auto"/>
        <w:jc w:val="center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46A6D83" w14:textId="77777777" w:rsidR="00BD0FA2" w:rsidRDefault="00BD0FA2" w:rsidP="00BD0FA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71F8024B" w14:textId="77777777" w:rsidR="00BD0FA2" w:rsidRDefault="00BD0FA2" w:rsidP="00BD0FA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24 de novembro de 2025.</w:t>
      </w:r>
    </w:p>
    <w:p w14:paraId="527CF0EE" w14:textId="77777777" w:rsidR="00BD0FA2" w:rsidRDefault="00BD0FA2" w:rsidP="00BD0FA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E33B3B4" w14:textId="77777777" w:rsidR="00BD0FA2" w:rsidRDefault="00BD0FA2" w:rsidP="00BD0FA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081C0AE" w14:textId="77777777" w:rsidR="00BD0FA2" w:rsidRDefault="00BD0FA2" w:rsidP="00BD0FA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CC9A735" w14:textId="77777777" w:rsidR="00BD0FA2" w:rsidRDefault="00BD0FA2" w:rsidP="00BD0FA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F20677B" w14:textId="77777777" w:rsidR="00BD0FA2" w:rsidRDefault="00BD0FA2" w:rsidP="00BD0FA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92EC19C" w14:textId="77777777" w:rsidR="00BD0FA2" w:rsidRDefault="00BD0FA2" w:rsidP="00BD0FA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ELIAS BUENO DE SOUZA</w:t>
      </w:r>
    </w:p>
    <w:p w14:paraId="21C6551E" w14:textId="77777777" w:rsidR="00BD0FA2" w:rsidRDefault="00BD0FA2" w:rsidP="00BD0FA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Vereador</w:t>
      </w:r>
    </w:p>
    <w:p w14:paraId="50BC1266" w14:textId="77777777" w:rsidR="00BD0FA2" w:rsidRDefault="00BD0FA2" w:rsidP="00BD0FA2"/>
    <w:p w14:paraId="5A1ABD3A" w14:textId="77777777" w:rsidR="00BD0FA2" w:rsidRDefault="00BD0FA2" w:rsidP="00BD0FA2"/>
    <w:p w14:paraId="4EDA42AB" w14:textId="77777777" w:rsidR="00BD0FA2" w:rsidRDefault="00BD0FA2" w:rsidP="00BD0FA2"/>
    <w:p w14:paraId="1E0F6A9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A2"/>
    <w:rsid w:val="000D6968"/>
    <w:rsid w:val="008A55E4"/>
    <w:rsid w:val="00A3186B"/>
    <w:rsid w:val="00B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2FA3"/>
  <w15:chartTrackingRefBased/>
  <w15:docId w15:val="{6439BEE0-EEEB-40B1-A5B9-A855DF70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A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2025-11-18T19:38:00Z</dcterms:created>
  <dcterms:modified xsi:type="dcterms:W3CDTF">2025-11-18T19:39:00Z</dcterms:modified>
</cp:coreProperties>
</file>