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922CE" w14:textId="77777777" w:rsidR="00F12F08" w:rsidRPr="008C6D28" w:rsidRDefault="00F12F08" w:rsidP="00F12F08">
      <w:pPr>
        <w:jc w:val="center"/>
        <w:outlineLvl w:val="0"/>
        <w:rPr>
          <w:rFonts w:asciiTheme="minorHAnsi" w:hAnsiTheme="minorHAnsi" w:cstheme="minorHAnsi"/>
          <w:b/>
          <w:u w:val="single"/>
        </w:rPr>
      </w:pPr>
      <w:r w:rsidRPr="008C6D28">
        <w:rPr>
          <w:rFonts w:asciiTheme="minorHAnsi" w:hAnsiTheme="minorHAnsi" w:cstheme="minorHAnsi"/>
          <w:b/>
          <w:u w:val="single"/>
        </w:rPr>
        <w:t>PROJETO DE LEI N° 133/2024.</w:t>
      </w:r>
    </w:p>
    <w:p w14:paraId="1E691560" w14:textId="77777777" w:rsidR="00F12F08" w:rsidRPr="008C6D28" w:rsidRDefault="00F12F08" w:rsidP="00F12F08">
      <w:pPr>
        <w:ind w:left="2835"/>
        <w:jc w:val="both"/>
        <w:outlineLvl w:val="0"/>
        <w:rPr>
          <w:rFonts w:asciiTheme="minorHAnsi" w:hAnsiTheme="minorHAnsi" w:cstheme="minorHAnsi"/>
        </w:rPr>
      </w:pPr>
    </w:p>
    <w:p w14:paraId="4065C3DD" w14:textId="77777777" w:rsidR="00F12F08" w:rsidRPr="008C6D28" w:rsidRDefault="00F12F08" w:rsidP="00F12F08">
      <w:pPr>
        <w:ind w:left="1416"/>
        <w:jc w:val="both"/>
        <w:outlineLvl w:val="0"/>
        <w:rPr>
          <w:rFonts w:asciiTheme="minorHAnsi" w:hAnsiTheme="minorHAnsi" w:cstheme="minorHAnsi"/>
        </w:rPr>
      </w:pPr>
      <w:r w:rsidRPr="008C6D28">
        <w:rPr>
          <w:rFonts w:asciiTheme="minorHAnsi" w:hAnsiTheme="minorHAnsi" w:cstheme="minorHAnsi"/>
        </w:rPr>
        <w:t>“</w:t>
      </w:r>
      <w:r w:rsidRPr="008C6D28">
        <w:rPr>
          <w:rFonts w:asciiTheme="minorHAnsi" w:hAnsiTheme="minorHAnsi" w:cstheme="minorHAnsi"/>
          <w:i/>
        </w:rPr>
        <w:t xml:space="preserve">Altera dispositivos da Lei </w:t>
      </w:r>
      <w:r>
        <w:rPr>
          <w:rFonts w:asciiTheme="minorHAnsi" w:hAnsiTheme="minorHAnsi" w:cstheme="minorHAnsi"/>
          <w:i/>
        </w:rPr>
        <w:t>n</w:t>
      </w:r>
      <w:r w:rsidRPr="008C6D28">
        <w:rPr>
          <w:rFonts w:asciiTheme="minorHAnsi" w:hAnsiTheme="minorHAnsi" w:cstheme="minorHAnsi"/>
          <w:i/>
        </w:rPr>
        <w:t>º 2.375/2022, que dispõe sobre definição de critérios para produção de justificação administrativa, com o objetivo de comprovação e verificação do cumprimento de requisitos legais, para fins de concessão de benefícios previdenciários, regulamenta a Comissão de Justificação Administrativa, e dá outras providencias</w:t>
      </w:r>
      <w:r w:rsidRPr="008C6D28">
        <w:rPr>
          <w:rFonts w:asciiTheme="minorHAnsi" w:hAnsiTheme="minorHAnsi" w:cstheme="minorHAnsi"/>
        </w:rPr>
        <w:t>”.</w:t>
      </w:r>
    </w:p>
    <w:p w14:paraId="1B17D3C6" w14:textId="77777777" w:rsidR="00F12F08" w:rsidRPr="008C6D28" w:rsidRDefault="00F12F08" w:rsidP="00F12F08">
      <w:pPr>
        <w:ind w:firstLine="1134"/>
        <w:jc w:val="both"/>
        <w:outlineLvl w:val="0"/>
        <w:rPr>
          <w:rFonts w:asciiTheme="minorHAnsi" w:hAnsiTheme="minorHAnsi" w:cstheme="minorHAnsi"/>
        </w:rPr>
      </w:pPr>
    </w:p>
    <w:p w14:paraId="7C240846" w14:textId="77777777" w:rsidR="00F12F08" w:rsidRPr="008C6D28" w:rsidRDefault="00F12F08" w:rsidP="00F12F08">
      <w:pPr>
        <w:ind w:firstLine="1418"/>
        <w:jc w:val="both"/>
        <w:outlineLvl w:val="0"/>
        <w:rPr>
          <w:rFonts w:asciiTheme="minorHAnsi" w:hAnsiTheme="minorHAnsi" w:cstheme="minorHAnsi"/>
        </w:rPr>
      </w:pPr>
      <w:r w:rsidRPr="008C6D28">
        <w:rPr>
          <w:rFonts w:asciiTheme="minorHAnsi" w:hAnsiTheme="minorHAnsi" w:cstheme="minorHAnsi"/>
          <w:b/>
        </w:rPr>
        <w:t>O Prefeito do Município de Nova Xavantina, Estado de Mato Grosso</w:t>
      </w:r>
      <w:r w:rsidRPr="008C6D28">
        <w:rPr>
          <w:rFonts w:asciiTheme="minorHAnsi" w:hAnsiTheme="minorHAnsi" w:cstheme="minorHAnsi"/>
        </w:rPr>
        <w:t>, faz saber que a Câmara Municipal aprovou e ele sanciona a seguinte Lei:</w:t>
      </w:r>
    </w:p>
    <w:p w14:paraId="0D5E7239" w14:textId="77777777" w:rsidR="00F12F08" w:rsidRPr="008C6D28" w:rsidRDefault="00F12F08" w:rsidP="00F12F08">
      <w:pPr>
        <w:ind w:firstLine="1418"/>
        <w:jc w:val="both"/>
        <w:outlineLvl w:val="0"/>
        <w:rPr>
          <w:rFonts w:asciiTheme="minorHAnsi" w:hAnsiTheme="minorHAnsi" w:cstheme="minorHAnsi"/>
        </w:rPr>
      </w:pPr>
    </w:p>
    <w:p w14:paraId="7B50B3DE" w14:textId="77777777" w:rsidR="00F12F08" w:rsidRPr="008C6D28" w:rsidRDefault="00F12F08" w:rsidP="00F12F08">
      <w:pPr>
        <w:ind w:firstLine="1418"/>
        <w:jc w:val="both"/>
        <w:outlineLvl w:val="0"/>
        <w:rPr>
          <w:rFonts w:asciiTheme="minorHAnsi" w:hAnsiTheme="minorHAnsi" w:cstheme="minorHAnsi"/>
          <w:bCs/>
        </w:rPr>
      </w:pPr>
      <w:r w:rsidRPr="008C6D28">
        <w:rPr>
          <w:rFonts w:asciiTheme="minorHAnsi" w:hAnsiTheme="minorHAnsi" w:cstheme="minorHAnsi"/>
          <w:b/>
          <w:bCs/>
        </w:rPr>
        <w:t xml:space="preserve">Art. 1º </w:t>
      </w:r>
      <w:r w:rsidRPr="008C6D28">
        <w:rPr>
          <w:rFonts w:asciiTheme="minorHAnsi" w:hAnsiTheme="minorHAnsi" w:cstheme="minorHAnsi"/>
          <w:bCs/>
        </w:rPr>
        <w:t xml:space="preserve">A Lei </w:t>
      </w:r>
      <w:r>
        <w:rPr>
          <w:rFonts w:asciiTheme="minorHAnsi" w:hAnsiTheme="minorHAnsi" w:cstheme="minorHAnsi"/>
          <w:bCs/>
        </w:rPr>
        <w:t>Municipal n</w:t>
      </w:r>
      <w:r w:rsidRPr="008C6D28">
        <w:rPr>
          <w:rFonts w:asciiTheme="minorHAnsi" w:hAnsiTheme="minorHAnsi" w:cstheme="minorHAnsi"/>
          <w:bCs/>
        </w:rPr>
        <w:t>º 2.375</w:t>
      </w:r>
      <w:r>
        <w:rPr>
          <w:rFonts w:asciiTheme="minorHAnsi" w:hAnsiTheme="minorHAnsi" w:cstheme="minorHAnsi"/>
          <w:bCs/>
        </w:rPr>
        <w:t xml:space="preserve">, de 22 de fevereiro de </w:t>
      </w:r>
      <w:r w:rsidRPr="008C6D28">
        <w:rPr>
          <w:rFonts w:asciiTheme="minorHAnsi" w:hAnsiTheme="minorHAnsi" w:cstheme="minorHAnsi"/>
          <w:bCs/>
        </w:rPr>
        <w:t>2022,</w:t>
      </w:r>
      <w:r w:rsidRPr="008C6D28">
        <w:rPr>
          <w:rFonts w:asciiTheme="minorHAnsi" w:hAnsiTheme="minorHAnsi" w:cstheme="minorHAnsi"/>
          <w:b/>
          <w:bCs/>
        </w:rPr>
        <w:t xml:space="preserve"> </w:t>
      </w:r>
      <w:r w:rsidRPr="008C6D28">
        <w:rPr>
          <w:rFonts w:asciiTheme="minorHAnsi" w:hAnsiTheme="minorHAnsi" w:cstheme="minorHAnsi"/>
          <w:bCs/>
        </w:rPr>
        <w:t>que disciplina o procedimento da Justificativa Administrativa fica recepcionada em todos os seus termos pela nova sistemática do RPPS de Nova Xavantina, passando o</w:t>
      </w:r>
      <w:r>
        <w:rPr>
          <w:rFonts w:asciiTheme="minorHAnsi" w:hAnsiTheme="minorHAnsi" w:cstheme="minorHAnsi"/>
          <w:bCs/>
        </w:rPr>
        <w:t>s</w:t>
      </w:r>
      <w:r w:rsidRPr="008C6D28">
        <w:rPr>
          <w:rFonts w:asciiTheme="minorHAnsi" w:hAnsiTheme="minorHAnsi" w:cstheme="minorHAnsi"/>
          <w:bCs/>
        </w:rPr>
        <w:t xml:space="preserve"> artigo</w:t>
      </w:r>
      <w:r>
        <w:rPr>
          <w:rFonts w:asciiTheme="minorHAnsi" w:hAnsiTheme="minorHAnsi" w:cstheme="minorHAnsi"/>
          <w:bCs/>
        </w:rPr>
        <w:t>s</w:t>
      </w:r>
      <w:r w:rsidRPr="008C6D28">
        <w:rPr>
          <w:rFonts w:asciiTheme="minorHAnsi" w:hAnsiTheme="minorHAnsi" w:cstheme="minorHAnsi"/>
          <w:bCs/>
        </w:rPr>
        <w:t xml:space="preserve"> 1º e 3º, daquele diploma a vigorar com a</w:t>
      </w:r>
      <w:r>
        <w:rPr>
          <w:rFonts w:asciiTheme="minorHAnsi" w:hAnsiTheme="minorHAnsi" w:cstheme="minorHAnsi"/>
          <w:bCs/>
        </w:rPr>
        <w:t>s</w:t>
      </w:r>
      <w:r w:rsidRPr="008C6D28">
        <w:rPr>
          <w:rFonts w:asciiTheme="minorHAnsi" w:hAnsiTheme="minorHAnsi" w:cstheme="minorHAnsi"/>
          <w:bCs/>
        </w:rPr>
        <w:t xml:space="preserve"> seguinte</w:t>
      </w:r>
      <w:r>
        <w:rPr>
          <w:rFonts w:asciiTheme="minorHAnsi" w:hAnsiTheme="minorHAnsi" w:cstheme="minorHAnsi"/>
          <w:bCs/>
        </w:rPr>
        <w:t>s</w:t>
      </w:r>
      <w:r w:rsidRPr="008C6D28">
        <w:rPr>
          <w:rFonts w:asciiTheme="minorHAnsi" w:hAnsiTheme="minorHAnsi" w:cstheme="minorHAnsi"/>
          <w:bCs/>
        </w:rPr>
        <w:t xml:space="preserve"> redaç</w:t>
      </w:r>
      <w:r>
        <w:rPr>
          <w:rFonts w:asciiTheme="minorHAnsi" w:hAnsiTheme="minorHAnsi" w:cstheme="minorHAnsi"/>
          <w:bCs/>
        </w:rPr>
        <w:t>ões</w:t>
      </w:r>
      <w:r w:rsidRPr="008C6D28">
        <w:rPr>
          <w:rFonts w:asciiTheme="minorHAnsi" w:hAnsiTheme="minorHAnsi" w:cstheme="minorHAnsi"/>
          <w:bCs/>
        </w:rPr>
        <w:t>:</w:t>
      </w:r>
    </w:p>
    <w:p w14:paraId="62115092" w14:textId="77777777" w:rsidR="00F12F08" w:rsidRPr="008C6D28" w:rsidRDefault="00F12F08" w:rsidP="00F12F08">
      <w:pPr>
        <w:ind w:left="1416"/>
        <w:jc w:val="both"/>
        <w:outlineLvl w:val="0"/>
        <w:rPr>
          <w:rFonts w:asciiTheme="minorHAnsi" w:hAnsiTheme="minorHAnsi" w:cstheme="minorHAnsi"/>
          <w:bCs/>
        </w:rPr>
      </w:pPr>
      <w:r w:rsidRPr="008C6D28">
        <w:rPr>
          <w:rFonts w:asciiTheme="minorHAnsi" w:hAnsiTheme="minorHAnsi" w:cstheme="minorHAnsi"/>
          <w:bCs/>
        </w:rPr>
        <w:t>“</w:t>
      </w:r>
      <w:r w:rsidRPr="00D00785">
        <w:rPr>
          <w:rFonts w:asciiTheme="minorHAnsi" w:hAnsiTheme="minorHAnsi" w:cstheme="minorHAnsi"/>
          <w:b/>
          <w:bCs/>
        </w:rPr>
        <w:t>Art. 1</w:t>
      </w:r>
      <w:r>
        <w:rPr>
          <w:rFonts w:asciiTheme="minorHAnsi" w:hAnsiTheme="minorHAnsi" w:cstheme="minorHAnsi"/>
          <w:b/>
          <w:bCs/>
        </w:rPr>
        <w:t>º</w:t>
      </w:r>
      <w:r w:rsidRPr="008C6D28">
        <w:rPr>
          <w:rFonts w:asciiTheme="minorHAnsi" w:hAnsiTheme="minorHAnsi" w:cstheme="minorHAnsi"/>
          <w:bCs/>
        </w:rPr>
        <w:t xml:space="preserve"> Para efeito do disposto na Lei Municipal nº 2.629 de 12 de dezembro de 2023, que “dispõe sobre o Regime Próprio de Previdência Social de Nova Xavantina-MT, e dá outras providências”, vem regulamentar o procedimento de Justificação Administrativa no Fundo de previdência Municipal de Nova Xavantina-MT (PREVINX).</w:t>
      </w:r>
    </w:p>
    <w:p w14:paraId="4D4CD3DE" w14:textId="77777777" w:rsidR="00F12F08" w:rsidRPr="008C6D28" w:rsidRDefault="00F12F08" w:rsidP="00F12F08">
      <w:pPr>
        <w:ind w:firstLine="1418"/>
        <w:jc w:val="both"/>
        <w:outlineLvl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...................................................................................................................................</w:t>
      </w:r>
    </w:p>
    <w:p w14:paraId="1768DBE5" w14:textId="77777777" w:rsidR="00F12F08" w:rsidRPr="008C6D28" w:rsidRDefault="00F12F08" w:rsidP="00F12F08">
      <w:pPr>
        <w:ind w:left="1416" w:firstLine="2"/>
        <w:jc w:val="both"/>
        <w:outlineLvl w:val="0"/>
        <w:rPr>
          <w:rFonts w:asciiTheme="minorHAnsi" w:hAnsiTheme="minorHAnsi" w:cstheme="minorHAnsi"/>
          <w:bCs/>
        </w:rPr>
      </w:pPr>
      <w:r w:rsidRPr="00000378">
        <w:rPr>
          <w:rFonts w:asciiTheme="minorHAnsi" w:hAnsiTheme="minorHAnsi" w:cstheme="minorHAnsi"/>
          <w:b/>
          <w:bCs/>
        </w:rPr>
        <w:t>Art. 3º</w:t>
      </w:r>
      <w:r w:rsidRPr="008C6D28">
        <w:rPr>
          <w:rFonts w:asciiTheme="minorHAnsi" w:hAnsiTheme="minorHAnsi" w:cstheme="minorHAnsi"/>
          <w:bCs/>
        </w:rPr>
        <w:t xml:space="preserve"> Sempre que houver necessidade de suprir a falta ou insuficiência de documento, ou produzir prova de fato ou circunstância de interesse dos beneficiários, ou do Regime de Previdência Próprio dos Servidores, perante a PREVINX e à Administração Pública Municipal, poderá ser instaurado procedimento de Justificação Administrativa (JA), de ofício, ou mediante requerimento do interessado e sem ônus.</w:t>
      </w:r>
    </w:p>
    <w:p w14:paraId="2CC8976A" w14:textId="77777777" w:rsidR="00F12F08" w:rsidRPr="008C6D28" w:rsidRDefault="00F12F08" w:rsidP="00F12F08">
      <w:pPr>
        <w:ind w:firstLine="1418"/>
        <w:jc w:val="both"/>
        <w:outlineLvl w:val="0"/>
        <w:rPr>
          <w:rFonts w:asciiTheme="minorHAnsi" w:hAnsiTheme="minorHAnsi" w:cstheme="minorHAnsi"/>
          <w:bCs/>
        </w:rPr>
      </w:pPr>
    </w:p>
    <w:p w14:paraId="26659254" w14:textId="77777777" w:rsidR="00F12F08" w:rsidRPr="008C6D28" w:rsidRDefault="00F12F08" w:rsidP="00F12F08">
      <w:pPr>
        <w:ind w:left="1416" w:firstLine="2"/>
        <w:jc w:val="both"/>
        <w:outlineLvl w:val="0"/>
        <w:rPr>
          <w:rFonts w:asciiTheme="minorHAnsi" w:hAnsiTheme="minorHAnsi" w:cstheme="minorHAnsi"/>
          <w:bCs/>
        </w:rPr>
      </w:pPr>
      <w:r w:rsidRPr="008C6D28">
        <w:rPr>
          <w:rFonts w:asciiTheme="minorHAnsi" w:hAnsiTheme="minorHAnsi" w:cstheme="minorHAnsi"/>
          <w:bCs/>
        </w:rPr>
        <w:t>§ 1º Não será admitida a justificação administrativa quando o fato a comprovar exigir registro público de casamento, de idade ou de óbito, ou de qualquer ato jurídico para o qual a lei prescreva forma especial.</w:t>
      </w:r>
    </w:p>
    <w:p w14:paraId="21AB6BAC" w14:textId="77777777" w:rsidR="00F12F08" w:rsidRPr="008C6D28" w:rsidRDefault="00F12F08" w:rsidP="00F12F08">
      <w:pPr>
        <w:ind w:firstLine="1418"/>
        <w:jc w:val="both"/>
        <w:outlineLvl w:val="0"/>
        <w:rPr>
          <w:rFonts w:asciiTheme="minorHAnsi" w:hAnsiTheme="minorHAnsi" w:cstheme="minorHAnsi"/>
          <w:bCs/>
        </w:rPr>
      </w:pPr>
    </w:p>
    <w:p w14:paraId="484E6014" w14:textId="77777777" w:rsidR="00F12F08" w:rsidRPr="008C6D28" w:rsidRDefault="00F12F08" w:rsidP="00F12F08">
      <w:pPr>
        <w:ind w:left="1416" w:firstLine="2"/>
        <w:jc w:val="both"/>
        <w:outlineLvl w:val="0"/>
        <w:rPr>
          <w:rFonts w:asciiTheme="minorHAnsi" w:hAnsiTheme="minorHAnsi" w:cstheme="minorHAnsi"/>
          <w:bCs/>
        </w:rPr>
      </w:pPr>
      <w:r w:rsidRPr="008C6D28">
        <w:rPr>
          <w:rFonts w:asciiTheme="minorHAnsi" w:hAnsiTheme="minorHAnsi" w:cstheme="minorHAnsi"/>
          <w:bCs/>
        </w:rPr>
        <w:t>§ 2º A justificação administrativa é parte do processo de atualização de dados, de comprovação de fatos, produção de provas administrativas para formulação de convicção, ou de reconhecimento de direitos.</w:t>
      </w:r>
    </w:p>
    <w:p w14:paraId="01C8BAC2" w14:textId="77777777" w:rsidR="00F12F08" w:rsidRPr="008C6D28" w:rsidRDefault="00F12F08" w:rsidP="00F12F08">
      <w:pPr>
        <w:ind w:firstLine="1418"/>
        <w:jc w:val="both"/>
        <w:outlineLvl w:val="0"/>
        <w:rPr>
          <w:rFonts w:asciiTheme="minorHAnsi" w:hAnsiTheme="minorHAnsi" w:cstheme="minorHAnsi"/>
          <w:bCs/>
        </w:rPr>
      </w:pPr>
    </w:p>
    <w:p w14:paraId="0CB14FA4" w14:textId="77777777" w:rsidR="00F12F08" w:rsidRPr="008C6D28" w:rsidRDefault="00F12F08" w:rsidP="00F12F08">
      <w:pPr>
        <w:ind w:left="1416" w:firstLine="2"/>
        <w:jc w:val="both"/>
        <w:outlineLvl w:val="0"/>
        <w:rPr>
          <w:rFonts w:asciiTheme="minorHAnsi" w:hAnsiTheme="minorHAnsi" w:cstheme="minorHAnsi"/>
        </w:rPr>
      </w:pPr>
      <w:r w:rsidRPr="008C6D28">
        <w:rPr>
          <w:rFonts w:asciiTheme="minorHAnsi" w:hAnsiTheme="minorHAnsi" w:cstheme="minorHAnsi"/>
          <w:bCs/>
        </w:rPr>
        <w:t>§ 3º Quando a concessão do benefício depender de documento ou de prova de ato ao qual o segurado não tenha acesso, exceto quanto a registro público ou início de prova material, a justificação administrativa será oportunizada, ou determinada de ofício para verificação de fatos e/ou formulação de convicção</w:t>
      </w:r>
      <w:r w:rsidRPr="008C6D28">
        <w:rPr>
          <w:rFonts w:asciiTheme="minorHAnsi" w:hAnsiTheme="minorHAnsi" w:cstheme="minorHAnsi"/>
        </w:rPr>
        <w:t>.”</w:t>
      </w:r>
    </w:p>
    <w:p w14:paraId="0948EBAC" w14:textId="77777777" w:rsidR="00F12F08" w:rsidRPr="008C6D28" w:rsidRDefault="00F12F08" w:rsidP="00F12F08">
      <w:pPr>
        <w:ind w:firstLine="1418"/>
        <w:jc w:val="both"/>
        <w:outlineLvl w:val="0"/>
        <w:rPr>
          <w:rFonts w:asciiTheme="minorHAnsi" w:hAnsiTheme="minorHAnsi" w:cstheme="minorHAnsi"/>
          <w:b/>
        </w:rPr>
      </w:pPr>
    </w:p>
    <w:p w14:paraId="4D85EC95" w14:textId="77777777" w:rsidR="00F12F08" w:rsidRPr="008C6D28" w:rsidRDefault="00F12F08" w:rsidP="00F12F08">
      <w:pPr>
        <w:ind w:firstLine="1418"/>
        <w:jc w:val="both"/>
        <w:outlineLvl w:val="0"/>
        <w:rPr>
          <w:rFonts w:asciiTheme="minorHAnsi" w:hAnsiTheme="minorHAnsi" w:cstheme="minorHAnsi"/>
        </w:rPr>
      </w:pPr>
      <w:r w:rsidRPr="008C6D28">
        <w:rPr>
          <w:rFonts w:asciiTheme="minorHAnsi" w:hAnsiTheme="minorHAnsi" w:cstheme="minorHAnsi"/>
          <w:b/>
        </w:rPr>
        <w:lastRenderedPageBreak/>
        <w:t xml:space="preserve">Art. 2º </w:t>
      </w:r>
      <w:r w:rsidRPr="008C6D28">
        <w:rPr>
          <w:rFonts w:asciiTheme="minorHAnsi" w:hAnsiTheme="minorHAnsi" w:cstheme="minorHAnsi"/>
        </w:rPr>
        <w:t xml:space="preserve">Os artigos 11 e 12 da </w:t>
      </w:r>
      <w:r>
        <w:rPr>
          <w:rFonts w:asciiTheme="minorHAnsi" w:hAnsiTheme="minorHAnsi" w:cstheme="minorHAnsi"/>
        </w:rPr>
        <w:t>L</w:t>
      </w:r>
      <w:r w:rsidRPr="008C6D28">
        <w:rPr>
          <w:rFonts w:asciiTheme="minorHAnsi" w:hAnsiTheme="minorHAnsi" w:cstheme="minorHAnsi"/>
        </w:rPr>
        <w:t xml:space="preserve">ei </w:t>
      </w:r>
      <w:r>
        <w:rPr>
          <w:rFonts w:asciiTheme="minorHAnsi" w:hAnsiTheme="minorHAnsi" w:cstheme="minorHAnsi"/>
        </w:rPr>
        <w:t xml:space="preserve">Municipal </w:t>
      </w:r>
      <w:r>
        <w:rPr>
          <w:rFonts w:asciiTheme="minorHAnsi" w:hAnsiTheme="minorHAnsi" w:cstheme="minorHAnsi"/>
          <w:bCs/>
        </w:rPr>
        <w:t>n</w:t>
      </w:r>
      <w:r w:rsidRPr="008C6D28">
        <w:rPr>
          <w:rFonts w:asciiTheme="minorHAnsi" w:hAnsiTheme="minorHAnsi" w:cstheme="minorHAnsi"/>
          <w:bCs/>
        </w:rPr>
        <w:t>º 2.375</w:t>
      </w:r>
      <w:r>
        <w:rPr>
          <w:rFonts w:asciiTheme="minorHAnsi" w:hAnsiTheme="minorHAnsi" w:cstheme="minorHAnsi"/>
          <w:bCs/>
        </w:rPr>
        <w:t xml:space="preserve">, de 22 de fevereiro de </w:t>
      </w:r>
      <w:r w:rsidRPr="008C6D28">
        <w:rPr>
          <w:rFonts w:asciiTheme="minorHAnsi" w:hAnsiTheme="minorHAnsi" w:cstheme="minorHAnsi"/>
          <w:bCs/>
        </w:rPr>
        <w:t>2022</w:t>
      </w:r>
      <w:r>
        <w:rPr>
          <w:rFonts w:asciiTheme="minorHAnsi" w:hAnsiTheme="minorHAnsi" w:cstheme="minorHAnsi"/>
          <w:bCs/>
        </w:rPr>
        <w:t xml:space="preserve"> </w:t>
      </w:r>
      <w:r w:rsidRPr="008C6D28">
        <w:rPr>
          <w:rFonts w:asciiTheme="minorHAnsi" w:hAnsiTheme="minorHAnsi" w:cstheme="minorHAnsi"/>
        </w:rPr>
        <w:t>passam a vigorar com a</w:t>
      </w:r>
      <w:r>
        <w:rPr>
          <w:rFonts w:asciiTheme="minorHAnsi" w:hAnsiTheme="minorHAnsi" w:cstheme="minorHAnsi"/>
        </w:rPr>
        <w:t>s</w:t>
      </w:r>
      <w:r w:rsidRPr="008C6D28">
        <w:rPr>
          <w:rFonts w:asciiTheme="minorHAnsi" w:hAnsiTheme="minorHAnsi" w:cstheme="minorHAnsi"/>
        </w:rPr>
        <w:t xml:space="preserve"> seguinte</w:t>
      </w:r>
      <w:r>
        <w:rPr>
          <w:rFonts w:asciiTheme="minorHAnsi" w:hAnsiTheme="minorHAnsi" w:cstheme="minorHAnsi"/>
        </w:rPr>
        <w:t>s</w:t>
      </w:r>
      <w:r w:rsidRPr="008C6D28">
        <w:rPr>
          <w:rFonts w:asciiTheme="minorHAnsi" w:hAnsiTheme="minorHAnsi" w:cstheme="minorHAnsi"/>
        </w:rPr>
        <w:t xml:space="preserve"> redaç</w:t>
      </w:r>
      <w:r>
        <w:rPr>
          <w:rFonts w:asciiTheme="minorHAnsi" w:hAnsiTheme="minorHAnsi" w:cstheme="minorHAnsi"/>
        </w:rPr>
        <w:t>ões</w:t>
      </w:r>
      <w:r w:rsidRPr="008C6D28">
        <w:rPr>
          <w:rFonts w:asciiTheme="minorHAnsi" w:hAnsiTheme="minorHAnsi" w:cstheme="minorHAnsi"/>
        </w:rPr>
        <w:t>:</w:t>
      </w:r>
    </w:p>
    <w:p w14:paraId="25D1E92C" w14:textId="77777777" w:rsidR="00F12F08" w:rsidRPr="008C6D28" w:rsidRDefault="00F12F08" w:rsidP="00F12F08">
      <w:pPr>
        <w:ind w:left="1416" w:firstLine="2"/>
        <w:jc w:val="both"/>
        <w:outlineLvl w:val="0"/>
        <w:rPr>
          <w:rFonts w:asciiTheme="minorHAnsi" w:hAnsiTheme="minorHAnsi" w:cstheme="minorHAnsi"/>
        </w:rPr>
      </w:pPr>
      <w:r w:rsidRPr="008C6D28">
        <w:rPr>
          <w:rFonts w:asciiTheme="minorHAnsi" w:hAnsiTheme="minorHAnsi" w:cstheme="minorHAnsi"/>
          <w:b/>
        </w:rPr>
        <w:t>“</w:t>
      </w:r>
      <w:r w:rsidRPr="00000378">
        <w:rPr>
          <w:rFonts w:asciiTheme="minorHAnsi" w:hAnsiTheme="minorHAnsi" w:cstheme="minorHAnsi"/>
          <w:b/>
        </w:rPr>
        <w:t>Art. 11.</w:t>
      </w:r>
      <w:r w:rsidRPr="008C6D28">
        <w:rPr>
          <w:rFonts w:asciiTheme="minorHAnsi" w:hAnsiTheme="minorHAnsi" w:cstheme="minorHAnsi"/>
        </w:rPr>
        <w:t xml:space="preserve"> A justificação Administrativa será processada e conduzida por Comissão de Justificação Administrativa, instalada por nomeação conjunta do Chefe do Poder Executivo Municipal e da Autoridade Competente para deferimento do benefício ou reconhecimento do objeto da justificação, de ofício ou a requerimento do interessado, nos casos e nas hipóteses legais de cabimento.</w:t>
      </w:r>
    </w:p>
    <w:p w14:paraId="00EB1627" w14:textId="77777777" w:rsidR="00F12F08" w:rsidRPr="008C6D28" w:rsidRDefault="00F12F08" w:rsidP="00F12F08">
      <w:pPr>
        <w:ind w:firstLine="1418"/>
        <w:jc w:val="both"/>
        <w:outlineLvl w:val="0"/>
        <w:rPr>
          <w:rFonts w:asciiTheme="minorHAnsi" w:hAnsiTheme="minorHAnsi" w:cstheme="minorHAnsi"/>
        </w:rPr>
      </w:pPr>
    </w:p>
    <w:p w14:paraId="55BD8F7D" w14:textId="77777777" w:rsidR="00F12F08" w:rsidRPr="008C6D28" w:rsidRDefault="00F12F08" w:rsidP="00F12F08">
      <w:pPr>
        <w:ind w:left="1416"/>
        <w:jc w:val="both"/>
        <w:outlineLvl w:val="0"/>
        <w:rPr>
          <w:rFonts w:asciiTheme="minorHAnsi" w:hAnsiTheme="minorHAnsi" w:cstheme="minorHAnsi"/>
        </w:rPr>
      </w:pPr>
      <w:r w:rsidRPr="00000378">
        <w:rPr>
          <w:rFonts w:asciiTheme="minorHAnsi" w:hAnsiTheme="minorHAnsi" w:cstheme="minorHAnsi"/>
          <w:b/>
        </w:rPr>
        <w:t>Art. 12.</w:t>
      </w:r>
      <w:r w:rsidRPr="008C6D28">
        <w:rPr>
          <w:rFonts w:asciiTheme="minorHAnsi" w:hAnsiTheme="minorHAnsi" w:cstheme="minorHAnsi"/>
        </w:rPr>
        <w:t xml:space="preserve"> A Comissão de Justificação Administrativa será composta por 4 (quatro) servidores efetivos, e/ou aposentados, e designados e nomeados por ato Chefe do Poder Executivo Municipal e da Autoridade Competente para deferimento do benefício ou reconhecimento do objeto da justificação, cabendo a esta a eleição do respectivo Presidente, do Relator, do membro e do suplente da Comissão.</w:t>
      </w:r>
    </w:p>
    <w:p w14:paraId="64368686" w14:textId="77777777" w:rsidR="00F12F08" w:rsidRPr="008C6D28" w:rsidRDefault="00F12F08" w:rsidP="00F12F08">
      <w:pPr>
        <w:ind w:firstLine="1418"/>
        <w:jc w:val="both"/>
        <w:outlineLvl w:val="0"/>
        <w:rPr>
          <w:rFonts w:asciiTheme="minorHAnsi" w:hAnsiTheme="minorHAnsi" w:cstheme="minorHAnsi"/>
        </w:rPr>
      </w:pPr>
    </w:p>
    <w:p w14:paraId="1AD3BF5D" w14:textId="77777777" w:rsidR="00F12F08" w:rsidRPr="008C6D28" w:rsidRDefault="00F12F08" w:rsidP="00F12F08">
      <w:pPr>
        <w:ind w:left="1416"/>
        <w:jc w:val="both"/>
        <w:outlineLvl w:val="0"/>
        <w:rPr>
          <w:rFonts w:asciiTheme="minorHAnsi" w:hAnsiTheme="minorHAnsi" w:cstheme="minorHAnsi"/>
        </w:rPr>
      </w:pPr>
      <w:r w:rsidRPr="008C6D28">
        <w:rPr>
          <w:rFonts w:asciiTheme="minorHAnsi" w:hAnsiTheme="minorHAnsi" w:cstheme="minorHAnsi"/>
          <w:i/>
        </w:rPr>
        <w:t>Parágrafo único.</w:t>
      </w:r>
      <w:r w:rsidRPr="008C6D28">
        <w:rPr>
          <w:rFonts w:asciiTheme="minorHAnsi" w:hAnsiTheme="minorHAnsi" w:cstheme="minorHAnsi"/>
        </w:rPr>
        <w:t xml:space="preserve"> Após a eleição e composição dos cargos, dentro da Comissão nomeada, o Suplente somente atuará de forma excepcional, em caso de superveniência de suspeição, impedimento, ou quaisquer outras circunstâncias, de ordem natural ou legal.”</w:t>
      </w:r>
    </w:p>
    <w:p w14:paraId="48610FDA" w14:textId="77777777" w:rsidR="00F12F08" w:rsidRPr="008C6D28" w:rsidRDefault="00F12F08" w:rsidP="00F12F08">
      <w:pPr>
        <w:ind w:firstLine="1418"/>
        <w:jc w:val="both"/>
        <w:outlineLvl w:val="0"/>
        <w:rPr>
          <w:rFonts w:asciiTheme="minorHAnsi" w:hAnsiTheme="minorHAnsi" w:cstheme="minorHAnsi"/>
          <w:b/>
        </w:rPr>
      </w:pPr>
    </w:p>
    <w:p w14:paraId="4EA9F975" w14:textId="77777777" w:rsidR="00F12F08" w:rsidRPr="008C6D28" w:rsidRDefault="00F12F08" w:rsidP="00F12F08">
      <w:pPr>
        <w:ind w:firstLine="1418"/>
        <w:jc w:val="both"/>
        <w:outlineLvl w:val="0"/>
        <w:rPr>
          <w:rFonts w:asciiTheme="minorHAnsi" w:hAnsiTheme="minorHAnsi" w:cstheme="minorHAnsi"/>
          <w:b/>
          <w:bCs/>
        </w:rPr>
      </w:pPr>
      <w:r w:rsidRPr="008C6D28">
        <w:rPr>
          <w:rFonts w:asciiTheme="minorHAnsi" w:hAnsiTheme="minorHAnsi" w:cstheme="minorHAnsi"/>
          <w:b/>
        </w:rPr>
        <w:t xml:space="preserve">Art. 3º </w:t>
      </w:r>
      <w:r w:rsidRPr="008C6D28">
        <w:rPr>
          <w:rFonts w:asciiTheme="minorHAnsi" w:hAnsiTheme="minorHAnsi" w:cstheme="minorHAnsi"/>
        </w:rPr>
        <w:t xml:space="preserve">Fica acrescido o </w:t>
      </w:r>
      <w:r>
        <w:rPr>
          <w:rFonts w:asciiTheme="minorHAnsi" w:hAnsiTheme="minorHAnsi" w:cstheme="minorHAnsi"/>
        </w:rPr>
        <w:t>p</w:t>
      </w:r>
      <w:r w:rsidRPr="008C6D28">
        <w:rPr>
          <w:rFonts w:asciiTheme="minorHAnsi" w:hAnsiTheme="minorHAnsi" w:cstheme="minorHAnsi"/>
        </w:rPr>
        <w:t xml:space="preserve">arágrafo </w:t>
      </w:r>
      <w:r>
        <w:rPr>
          <w:rFonts w:asciiTheme="minorHAnsi" w:hAnsiTheme="minorHAnsi" w:cstheme="minorHAnsi"/>
        </w:rPr>
        <w:t>ú</w:t>
      </w:r>
      <w:r w:rsidRPr="008C6D28">
        <w:rPr>
          <w:rFonts w:asciiTheme="minorHAnsi" w:hAnsiTheme="minorHAnsi" w:cstheme="minorHAnsi"/>
        </w:rPr>
        <w:t xml:space="preserve">nico no artigo 24 da </w:t>
      </w:r>
      <w:r>
        <w:rPr>
          <w:rFonts w:asciiTheme="minorHAnsi" w:hAnsiTheme="minorHAnsi" w:cstheme="minorHAnsi"/>
        </w:rPr>
        <w:t>L</w:t>
      </w:r>
      <w:r w:rsidRPr="008C6D28">
        <w:rPr>
          <w:rFonts w:asciiTheme="minorHAnsi" w:hAnsiTheme="minorHAnsi" w:cstheme="minorHAnsi"/>
        </w:rPr>
        <w:t xml:space="preserve">ei </w:t>
      </w:r>
      <w:r>
        <w:rPr>
          <w:rFonts w:asciiTheme="minorHAnsi" w:hAnsiTheme="minorHAnsi" w:cstheme="minorHAnsi"/>
        </w:rPr>
        <w:t xml:space="preserve">Municipal </w:t>
      </w:r>
      <w:r>
        <w:rPr>
          <w:rFonts w:asciiTheme="minorHAnsi" w:hAnsiTheme="minorHAnsi" w:cstheme="minorHAnsi"/>
          <w:bCs/>
        </w:rPr>
        <w:t>n</w:t>
      </w:r>
      <w:r w:rsidRPr="008C6D28">
        <w:rPr>
          <w:rFonts w:asciiTheme="minorHAnsi" w:hAnsiTheme="minorHAnsi" w:cstheme="minorHAnsi"/>
          <w:bCs/>
        </w:rPr>
        <w:t>º 2.375</w:t>
      </w:r>
      <w:r>
        <w:rPr>
          <w:rFonts w:asciiTheme="minorHAnsi" w:hAnsiTheme="minorHAnsi" w:cstheme="minorHAnsi"/>
          <w:bCs/>
        </w:rPr>
        <w:t xml:space="preserve">, de 22 de fevereiro de </w:t>
      </w:r>
      <w:r w:rsidRPr="008C6D28">
        <w:rPr>
          <w:rFonts w:asciiTheme="minorHAnsi" w:hAnsiTheme="minorHAnsi" w:cstheme="minorHAnsi"/>
          <w:bCs/>
        </w:rPr>
        <w:t>2022, com a seguinte redação:</w:t>
      </w:r>
    </w:p>
    <w:p w14:paraId="69D3E07B" w14:textId="77777777" w:rsidR="00F12F08" w:rsidRPr="008C6D28" w:rsidRDefault="00F12F08" w:rsidP="00F12F08">
      <w:pPr>
        <w:ind w:firstLine="1418"/>
        <w:jc w:val="both"/>
        <w:outlineLvl w:val="0"/>
        <w:rPr>
          <w:rFonts w:asciiTheme="minorHAnsi" w:hAnsiTheme="minorHAnsi" w:cstheme="minorHAnsi"/>
          <w:bCs/>
        </w:rPr>
      </w:pPr>
      <w:r w:rsidRPr="008C6D28">
        <w:rPr>
          <w:rFonts w:asciiTheme="minorHAnsi" w:hAnsiTheme="minorHAnsi" w:cstheme="minorHAnsi"/>
          <w:bCs/>
        </w:rPr>
        <w:t>“</w:t>
      </w:r>
      <w:r w:rsidRPr="00000378">
        <w:rPr>
          <w:rFonts w:asciiTheme="minorHAnsi" w:hAnsiTheme="minorHAnsi" w:cstheme="minorHAnsi"/>
          <w:b/>
          <w:bCs/>
        </w:rPr>
        <w:t>Art. 24</w:t>
      </w:r>
      <w:r>
        <w:rPr>
          <w:rFonts w:asciiTheme="minorHAnsi" w:hAnsiTheme="minorHAnsi" w:cstheme="minorHAnsi"/>
          <w:b/>
          <w:bCs/>
        </w:rPr>
        <w:t>.</w:t>
      </w:r>
      <w:r w:rsidRPr="008C6D28">
        <w:rPr>
          <w:rFonts w:asciiTheme="minorHAnsi" w:hAnsiTheme="minorHAnsi" w:cstheme="minorHAnsi"/>
          <w:bCs/>
        </w:rPr>
        <w:t xml:space="preserve"> ...</w:t>
      </w:r>
      <w:r>
        <w:rPr>
          <w:rFonts w:asciiTheme="minorHAnsi" w:hAnsiTheme="minorHAnsi" w:cstheme="minorHAnsi"/>
          <w:bCs/>
        </w:rPr>
        <w:t>.................................................................................................................</w:t>
      </w:r>
    </w:p>
    <w:p w14:paraId="0057CCDE" w14:textId="77777777" w:rsidR="00F12F08" w:rsidRPr="008C6D28" w:rsidRDefault="00F12F08" w:rsidP="00F12F08">
      <w:pPr>
        <w:ind w:left="1416" w:firstLine="2"/>
        <w:jc w:val="both"/>
        <w:outlineLvl w:val="0"/>
        <w:rPr>
          <w:rFonts w:asciiTheme="minorHAnsi" w:hAnsiTheme="minorHAnsi" w:cstheme="minorHAnsi"/>
          <w:bCs/>
        </w:rPr>
      </w:pPr>
      <w:r w:rsidRPr="008C6D28">
        <w:rPr>
          <w:rFonts w:asciiTheme="minorHAnsi" w:hAnsiTheme="minorHAnsi" w:cstheme="minorHAnsi"/>
          <w:bCs/>
          <w:i/>
        </w:rPr>
        <w:t>Parágrafo único.</w:t>
      </w:r>
      <w:r w:rsidRPr="008C6D28">
        <w:rPr>
          <w:rFonts w:asciiTheme="minorHAnsi" w:hAnsiTheme="minorHAnsi" w:cstheme="minorHAnsi"/>
          <w:bCs/>
        </w:rPr>
        <w:t xml:space="preserve"> Caso </w:t>
      </w:r>
      <w:proofErr w:type="gramStart"/>
      <w:r w:rsidRPr="008C6D28">
        <w:rPr>
          <w:rFonts w:asciiTheme="minorHAnsi" w:hAnsiTheme="minorHAnsi" w:cstheme="minorHAnsi"/>
          <w:bCs/>
        </w:rPr>
        <w:t>os membros da Comissão entenda</w:t>
      </w:r>
      <w:proofErr w:type="gramEnd"/>
      <w:r w:rsidRPr="008C6D28">
        <w:rPr>
          <w:rFonts w:asciiTheme="minorHAnsi" w:hAnsiTheme="minorHAnsi" w:cstheme="minorHAnsi"/>
          <w:bCs/>
        </w:rPr>
        <w:t xml:space="preserve"> viável, poderão ser colhidos os depoimentos do requerente do benefício (segurado ou dependente), ascendente ou descendente, em linha reta ou colateral, os quais serão ouvidos apenas como elementos de informação pontuais.”</w:t>
      </w:r>
    </w:p>
    <w:p w14:paraId="435B0FA1" w14:textId="77777777" w:rsidR="00F12F08" w:rsidRPr="008C6D28" w:rsidRDefault="00F12F08" w:rsidP="00F12F08">
      <w:pPr>
        <w:ind w:firstLine="1418"/>
        <w:jc w:val="both"/>
        <w:outlineLvl w:val="0"/>
        <w:rPr>
          <w:rFonts w:asciiTheme="minorHAnsi" w:hAnsiTheme="minorHAnsi" w:cstheme="minorHAnsi"/>
          <w:b/>
          <w:bCs/>
        </w:rPr>
      </w:pPr>
    </w:p>
    <w:p w14:paraId="17736910" w14:textId="77777777" w:rsidR="00F12F08" w:rsidRPr="008C6D28" w:rsidRDefault="00F12F08" w:rsidP="00F12F08">
      <w:pPr>
        <w:ind w:firstLine="1418"/>
        <w:jc w:val="both"/>
        <w:outlineLvl w:val="0"/>
        <w:rPr>
          <w:rFonts w:asciiTheme="minorHAnsi" w:hAnsiTheme="minorHAnsi" w:cstheme="minorHAnsi"/>
          <w:bCs/>
        </w:rPr>
      </w:pPr>
      <w:r w:rsidRPr="008C6D28">
        <w:rPr>
          <w:rFonts w:asciiTheme="minorHAnsi" w:hAnsiTheme="minorHAnsi" w:cstheme="minorHAnsi"/>
          <w:b/>
          <w:bCs/>
        </w:rPr>
        <w:t xml:space="preserve">Art. 4º </w:t>
      </w:r>
      <w:r w:rsidRPr="008C6D28">
        <w:rPr>
          <w:rFonts w:asciiTheme="minorHAnsi" w:hAnsiTheme="minorHAnsi" w:cstheme="minorHAnsi"/>
          <w:bCs/>
        </w:rPr>
        <w:t xml:space="preserve">O artigo 31 da </w:t>
      </w:r>
      <w:r>
        <w:rPr>
          <w:rFonts w:asciiTheme="minorHAnsi" w:hAnsiTheme="minorHAnsi" w:cstheme="minorHAnsi"/>
        </w:rPr>
        <w:t>L</w:t>
      </w:r>
      <w:r w:rsidRPr="008C6D28">
        <w:rPr>
          <w:rFonts w:asciiTheme="minorHAnsi" w:hAnsiTheme="minorHAnsi" w:cstheme="minorHAnsi"/>
        </w:rPr>
        <w:t xml:space="preserve">ei </w:t>
      </w:r>
      <w:r>
        <w:rPr>
          <w:rFonts w:asciiTheme="minorHAnsi" w:hAnsiTheme="minorHAnsi" w:cstheme="minorHAnsi"/>
        </w:rPr>
        <w:t xml:space="preserve">Municipal </w:t>
      </w:r>
      <w:r>
        <w:rPr>
          <w:rFonts w:asciiTheme="minorHAnsi" w:hAnsiTheme="minorHAnsi" w:cstheme="minorHAnsi"/>
          <w:bCs/>
        </w:rPr>
        <w:t>n</w:t>
      </w:r>
      <w:r w:rsidRPr="008C6D28">
        <w:rPr>
          <w:rFonts w:asciiTheme="minorHAnsi" w:hAnsiTheme="minorHAnsi" w:cstheme="minorHAnsi"/>
          <w:bCs/>
        </w:rPr>
        <w:t>º 2.375</w:t>
      </w:r>
      <w:r>
        <w:rPr>
          <w:rFonts w:asciiTheme="minorHAnsi" w:hAnsiTheme="minorHAnsi" w:cstheme="minorHAnsi"/>
          <w:bCs/>
        </w:rPr>
        <w:t xml:space="preserve">, de 22 de fevereiro de </w:t>
      </w:r>
      <w:r w:rsidRPr="008C6D28">
        <w:rPr>
          <w:rFonts w:asciiTheme="minorHAnsi" w:hAnsiTheme="minorHAnsi" w:cstheme="minorHAnsi"/>
          <w:bCs/>
        </w:rPr>
        <w:t>2022, passa a vigorar com a seguinte redação:</w:t>
      </w:r>
    </w:p>
    <w:p w14:paraId="419236F2" w14:textId="77777777" w:rsidR="00F12F08" w:rsidRPr="008C6D28" w:rsidRDefault="00F12F08" w:rsidP="00F12F08">
      <w:pPr>
        <w:ind w:left="1416"/>
        <w:jc w:val="both"/>
        <w:outlineLvl w:val="0"/>
        <w:rPr>
          <w:rFonts w:asciiTheme="minorHAnsi" w:hAnsiTheme="minorHAnsi" w:cstheme="minorHAnsi"/>
        </w:rPr>
      </w:pPr>
      <w:r w:rsidRPr="008C6D28">
        <w:rPr>
          <w:rFonts w:asciiTheme="minorHAnsi" w:hAnsiTheme="minorHAnsi" w:cstheme="minorHAnsi"/>
        </w:rPr>
        <w:t>“</w:t>
      </w:r>
      <w:r w:rsidRPr="00000378">
        <w:rPr>
          <w:rFonts w:asciiTheme="minorHAnsi" w:hAnsiTheme="minorHAnsi" w:cstheme="minorHAnsi"/>
          <w:b/>
        </w:rPr>
        <w:t>Art. 31.</w:t>
      </w:r>
      <w:r w:rsidRPr="008C6D28">
        <w:rPr>
          <w:rFonts w:asciiTheme="minorHAnsi" w:hAnsiTheme="minorHAnsi" w:cstheme="minorHAnsi"/>
        </w:rPr>
        <w:t xml:space="preserve"> Os membros da Comissão de Justificação Administrativa farão jus a 3 (três) dias folga, a serem gozados conforme pedido dos servidores nomeados, e após à conclusão dos trabalhos desta, sendo, também, atividade de relevante interesse público.</w:t>
      </w:r>
      <w:r>
        <w:rPr>
          <w:rFonts w:asciiTheme="minorHAnsi" w:hAnsiTheme="minorHAnsi" w:cstheme="minorHAnsi"/>
        </w:rPr>
        <w:t>”</w:t>
      </w:r>
    </w:p>
    <w:p w14:paraId="2152BB3B" w14:textId="77777777" w:rsidR="00F12F08" w:rsidRPr="008C6D28" w:rsidRDefault="00F12F08" w:rsidP="00F12F08">
      <w:pPr>
        <w:ind w:firstLine="1418"/>
        <w:jc w:val="both"/>
        <w:outlineLvl w:val="0"/>
        <w:rPr>
          <w:rFonts w:asciiTheme="minorHAnsi" w:hAnsiTheme="minorHAnsi" w:cstheme="minorHAnsi"/>
        </w:rPr>
      </w:pPr>
    </w:p>
    <w:p w14:paraId="7DE58DB0" w14:textId="77777777" w:rsidR="00F12F08" w:rsidRPr="008C6D28" w:rsidRDefault="00F12F08" w:rsidP="00F12F08">
      <w:pPr>
        <w:ind w:firstLine="1418"/>
        <w:jc w:val="both"/>
        <w:outlineLvl w:val="0"/>
        <w:rPr>
          <w:rFonts w:asciiTheme="minorHAnsi" w:hAnsiTheme="minorHAnsi" w:cstheme="minorHAnsi"/>
        </w:rPr>
      </w:pPr>
      <w:r w:rsidRPr="008C6D28">
        <w:rPr>
          <w:rFonts w:asciiTheme="minorHAnsi" w:hAnsiTheme="minorHAnsi" w:cstheme="minorHAnsi"/>
          <w:b/>
          <w:bCs/>
        </w:rPr>
        <w:t xml:space="preserve">Art. 5º </w:t>
      </w:r>
      <w:r w:rsidRPr="008C6D28">
        <w:rPr>
          <w:rFonts w:asciiTheme="minorHAnsi" w:hAnsiTheme="minorHAnsi" w:cstheme="minorHAnsi"/>
        </w:rPr>
        <w:t>Esta Lei entra em vigor na data de sua publicação, surtindo seus efeitos de imediato, revogadas as disposições em contrário.</w:t>
      </w:r>
    </w:p>
    <w:p w14:paraId="6A798F2C" w14:textId="77777777" w:rsidR="00F12F08" w:rsidRPr="008C6D28" w:rsidRDefault="00F12F08" w:rsidP="00F12F08">
      <w:pPr>
        <w:autoSpaceDE w:val="0"/>
        <w:autoSpaceDN w:val="0"/>
        <w:adjustRightInd w:val="0"/>
        <w:ind w:left="10" w:firstLine="1134"/>
        <w:jc w:val="both"/>
        <w:rPr>
          <w:rFonts w:asciiTheme="minorHAnsi" w:hAnsiTheme="minorHAnsi" w:cstheme="minorHAnsi"/>
          <w:color w:val="000000"/>
        </w:rPr>
      </w:pPr>
    </w:p>
    <w:p w14:paraId="54767D19" w14:textId="77777777" w:rsidR="00F12F08" w:rsidRDefault="00F12F08" w:rsidP="00F12F08">
      <w:pPr>
        <w:autoSpaceDE w:val="0"/>
        <w:autoSpaceDN w:val="0"/>
        <w:adjustRightInd w:val="0"/>
        <w:ind w:left="10" w:hanging="1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Palácio dos Pioneiros, Gabinete do Prefeito Municipal, Nova Xavantina/MT, 22 de outubro de 2024.</w:t>
      </w:r>
    </w:p>
    <w:p w14:paraId="60AA1A6C" w14:textId="77777777" w:rsidR="00F12F08" w:rsidRPr="008C6D28" w:rsidRDefault="00F12F08" w:rsidP="00F12F08">
      <w:pPr>
        <w:autoSpaceDE w:val="0"/>
        <w:autoSpaceDN w:val="0"/>
        <w:adjustRightInd w:val="0"/>
        <w:ind w:left="10" w:hanging="10"/>
        <w:jc w:val="both"/>
        <w:rPr>
          <w:rFonts w:asciiTheme="minorHAnsi" w:hAnsiTheme="minorHAnsi" w:cstheme="minorHAnsi"/>
          <w:color w:val="000000"/>
        </w:rPr>
      </w:pPr>
    </w:p>
    <w:p w14:paraId="78C4821D" w14:textId="77777777" w:rsidR="00F12F08" w:rsidRPr="008C6D28" w:rsidRDefault="00F12F08" w:rsidP="00F12F08">
      <w:pPr>
        <w:jc w:val="center"/>
        <w:rPr>
          <w:rFonts w:asciiTheme="minorHAnsi" w:hAnsiTheme="minorHAnsi" w:cstheme="minorHAnsi"/>
        </w:rPr>
      </w:pPr>
      <w:r w:rsidRPr="008C6D28">
        <w:rPr>
          <w:rFonts w:asciiTheme="minorHAnsi" w:hAnsiTheme="minorHAnsi" w:cstheme="minorHAnsi"/>
          <w:b/>
        </w:rPr>
        <w:t xml:space="preserve">João Machado Neto </w:t>
      </w:r>
      <w:r w:rsidRPr="008C6D28">
        <w:rPr>
          <w:rFonts w:asciiTheme="minorHAnsi" w:hAnsiTheme="minorHAnsi" w:cstheme="minorHAnsi"/>
        </w:rPr>
        <w:t>– João Bang</w:t>
      </w:r>
    </w:p>
    <w:p w14:paraId="06F71C47" w14:textId="167007E6" w:rsidR="000D6968" w:rsidRPr="00F12F08" w:rsidRDefault="00F12F08" w:rsidP="00F12F08">
      <w:pPr>
        <w:jc w:val="center"/>
        <w:rPr>
          <w:rFonts w:asciiTheme="minorHAnsi" w:hAnsiTheme="minorHAnsi" w:cstheme="minorHAnsi"/>
        </w:rPr>
      </w:pPr>
      <w:r w:rsidRPr="008C6D28">
        <w:rPr>
          <w:rFonts w:asciiTheme="minorHAnsi" w:hAnsiTheme="minorHAnsi" w:cstheme="minorHAnsi"/>
        </w:rPr>
        <w:t>Prefeito Municipal</w:t>
      </w:r>
    </w:p>
    <w:sectPr w:rsidR="000D6968" w:rsidRPr="00F12F08" w:rsidSect="00F12F08">
      <w:headerReference w:type="default" r:id="rId4"/>
      <w:pgSz w:w="11906" w:h="16838"/>
      <w:pgMar w:top="2234" w:right="991" w:bottom="1417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E1783" w14:textId="77777777" w:rsidR="00000000" w:rsidRDefault="00000000" w:rsidP="008C6D28">
    <w:pPr>
      <w:pStyle w:val="Cabealho"/>
      <w:jc w:val="center"/>
    </w:pPr>
    <w:r>
      <w:rPr>
        <w:b/>
      </w:rPr>
      <w:t xml:space="preserve"> </w:t>
    </w:r>
  </w:p>
  <w:p w14:paraId="3CD8EE08" w14:textId="77777777" w:rsidR="00000000" w:rsidRDefault="00000000" w:rsidP="008C6D28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3029DD7" wp14:editId="766E22E2">
          <wp:simplePos x="0" y="0"/>
          <wp:positionH relativeFrom="margin">
            <wp:posOffset>2422525</wp:posOffset>
          </wp:positionH>
          <wp:positionV relativeFrom="paragraph">
            <wp:posOffset>34290</wp:posOffset>
          </wp:positionV>
          <wp:extent cx="775335" cy="721995"/>
          <wp:effectExtent l="0" t="0" r="5715" b="1905"/>
          <wp:wrapSquare wrapText="bothSides"/>
          <wp:docPr id="11" name="Imagem 1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93082E5" w14:textId="77777777" w:rsidR="00000000" w:rsidRDefault="00000000" w:rsidP="008C6D28">
    <w:pPr>
      <w:pStyle w:val="Cabealho"/>
      <w:jc w:val="center"/>
      <w:rPr>
        <w:rFonts w:cstheme="minorHAnsi"/>
        <w:b/>
      </w:rPr>
    </w:pPr>
  </w:p>
  <w:p w14:paraId="051A6ACE" w14:textId="77777777" w:rsidR="00000000" w:rsidRDefault="00000000" w:rsidP="008C6D28">
    <w:pPr>
      <w:pStyle w:val="Cabealho"/>
      <w:jc w:val="center"/>
      <w:rPr>
        <w:rFonts w:ascii="Calibri" w:hAnsi="Calibri" w:cs="Calibri"/>
        <w:b/>
      </w:rPr>
    </w:pPr>
  </w:p>
  <w:p w14:paraId="61800B9E" w14:textId="77777777" w:rsidR="00000000" w:rsidRDefault="00000000" w:rsidP="008C6D28">
    <w:pPr>
      <w:pStyle w:val="Cabealho"/>
      <w:jc w:val="center"/>
      <w:rPr>
        <w:rFonts w:ascii="Calibri" w:hAnsi="Calibri" w:cs="Calibri"/>
        <w:b/>
      </w:rPr>
    </w:pPr>
  </w:p>
  <w:p w14:paraId="084AA1BD" w14:textId="77777777" w:rsidR="00000000" w:rsidRPr="00BA356B" w:rsidRDefault="00000000" w:rsidP="008C6D28">
    <w:pPr>
      <w:pStyle w:val="Cabealho"/>
      <w:jc w:val="center"/>
      <w:rPr>
        <w:rFonts w:ascii="Calibri" w:hAnsi="Calibri" w:cs="Calibri"/>
        <w:b/>
      </w:rPr>
    </w:pPr>
    <w:r w:rsidRPr="00BA356B">
      <w:rPr>
        <w:rFonts w:ascii="Calibri" w:hAnsi="Calibri" w:cs="Calibri"/>
        <w:b/>
      </w:rPr>
      <w:t xml:space="preserve">Estado </w:t>
    </w:r>
    <w:r>
      <w:rPr>
        <w:rFonts w:ascii="Calibri" w:hAnsi="Calibri" w:cs="Calibri"/>
        <w:b/>
      </w:rPr>
      <w:t>D</w:t>
    </w:r>
    <w:r w:rsidRPr="00BA356B">
      <w:rPr>
        <w:rFonts w:ascii="Calibri" w:hAnsi="Calibri" w:cs="Calibri"/>
        <w:b/>
      </w:rPr>
      <w:t>e Mato Grosso</w:t>
    </w:r>
  </w:p>
  <w:p w14:paraId="322B945F" w14:textId="77777777" w:rsidR="00000000" w:rsidRPr="00BA356B" w:rsidRDefault="00000000" w:rsidP="008C6D28">
    <w:pPr>
      <w:pStyle w:val="Cabealho"/>
      <w:jc w:val="center"/>
      <w:rPr>
        <w:rFonts w:ascii="Calibri" w:hAnsi="Calibri" w:cs="Calibri"/>
        <w:b/>
      </w:rPr>
    </w:pPr>
    <w:r w:rsidRPr="00BA356B">
      <w:rPr>
        <w:rFonts w:ascii="Calibri" w:hAnsi="Calibri" w:cs="Calibri"/>
        <w:b/>
      </w:rPr>
      <w:t xml:space="preserve">Prefeitura Municipal </w:t>
    </w:r>
    <w:r>
      <w:rPr>
        <w:rFonts w:ascii="Calibri" w:hAnsi="Calibri" w:cs="Calibri"/>
        <w:b/>
      </w:rPr>
      <w:t>D</w:t>
    </w:r>
    <w:r w:rsidRPr="00BA356B">
      <w:rPr>
        <w:rFonts w:ascii="Calibri" w:hAnsi="Calibri" w:cs="Calibri"/>
        <w:b/>
      </w:rPr>
      <w:t>e Nova Xavantina</w:t>
    </w:r>
  </w:p>
  <w:p w14:paraId="4CE7C9A4" w14:textId="77777777" w:rsidR="00000000" w:rsidRPr="008F6B26" w:rsidRDefault="00000000" w:rsidP="008C6D28">
    <w:pPr>
      <w:pStyle w:val="Cabealho"/>
      <w:jc w:val="center"/>
      <w:rPr>
        <w:rFonts w:ascii="Calibri" w:hAnsi="Calibri" w:cs="Calibri"/>
      </w:rPr>
    </w:pPr>
    <w:r>
      <w:rPr>
        <w:rFonts w:ascii="Calibri" w:hAnsi="Calibri" w:cs="Calibri"/>
      </w:rPr>
      <w:t>Rua José Rosalino da Silva, s/n</w:t>
    </w:r>
    <w:r w:rsidRPr="008F6B26">
      <w:rPr>
        <w:rFonts w:ascii="Calibri" w:hAnsi="Calibri" w:cs="Calibri"/>
      </w:rPr>
      <w:t xml:space="preserve"> – Centro – CEP 78.690-000 - Nova Xavantina/MT </w:t>
    </w:r>
  </w:p>
  <w:p w14:paraId="732F7D34" w14:textId="77777777" w:rsidR="00000000" w:rsidRPr="008F6B26" w:rsidRDefault="00000000" w:rsidP="008C6D28">
    <w:pPr>
      <w:pStyle w:val="Cabealho"/>
      <w:jc w:val="center"/>
      <w:rPr>
        <w:rFonts w:ascii="Calibri" w:hAnsi="Calibri" w:cs="Calibri"/>
      </w:rPr>
    </w:pPr>
    <w:hyperlink r:id="rId2" w:history="1">
      <w:r w:rsidRPr="008F6B26">
        <w:rPr>
          <w:rStyle w:val="Hyperlink"/>
          <w:rFonts w:ascii="Calibri" w:hAnsi="Calibri" w:cs="Calibri"/>
        </w:rPr>
        <w:t>www.novaxavantina.mt.gov.br</w:t>
      </w:r>
    </w:hyperlink>
    <w:r w:rsidRPr="008F6B26">
      <w:rPr>
        <w:rFonts w:ascii="Calibri" w:hAnsi="Calibri" w:cs="Calibri"/>
      </w:rPr>
      <w:t xml:space="preserve">  </w:t>
    </w:r>
  </w:p>
  <w:p w14:paraId="7FE331EB" w14:textId="77777777" w:rsidR="00000000" w:rsidRPr="00F67B19" w:rsidRDefault="00000000" w:rsidP="008C6D28">
    <w:pPr>
      <w:pStyle w:val="Cabealho"/>
      <w:pBdr>
        <w:bottom w:val="double" w:sz="6" w:space="1" w:color="auto"/>
      </w:pBdr>
      <w:jc w:val="center"/>
      <w:rPr>
        <w:b/>
        <w:sz w:val="10"/>
        <w:szCs w:val="10"/>
      </w:rPr>
    </w:pPr>
  </w:p>
  <w:p w14:paraId="49FEF24A" w14:textId="77777777" w:rsidR="00000000" w:rsidRPr="008C6D28" w:rsidRDefault="00000000">
    <w:pPr>
      <w:pStyle w:val="Cabealho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F08"/>
    <w:rsid w:val="000C3CA9"/>
    <w:rsid w:val="000D6968"/>
    <w:rsid w:val="008A55E4"/>
    <w:rsid w:val="00F1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36657"/>
  <w15:chartTrackingRefBased/>
  <w15:docId w15:val="{48960FD8-9111-48C8-BA56-AE4D8670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F0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2F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2F08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nhideWhenUsed/>
    <w:rsid w:val="00F12F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vaxavantina.mt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3986</Characters>
  <Application>Microsoft Office Word</Application>
  <DocSecurity>0</DocSecurity>
  <Lines>33</Lines>
  <Paragraphs>9</Paragraphs>
  <ScaleCrop>false</ScaleCrop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2024-10-25T15:50:00Z</cp:lastPrinted>
  <dcterms:created xsi:type="dcterms:W3CDTF">2024-10-25T15:50:00Z</dcterms:created>
  <dcterms:modified xsi:type="dcterms:W3CDTF">2024-10-25T15:51:00Z</dcterms:modified>
</cp:coreProperties>
</file>