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FC" w:rsidRPr="008616FC" w:rsidRDefault="008616FC" w:rsidP="008616FC">
      <w:pPr>
        <w:pStyle w:val="Standard"/>
        <w:spacing w:line="360" w:lineRule="auto"/>
        <w:jc w:val="center"/>
        <w:rPr>
          <w:rFonts w:ascii="Verdana" w:hAnsi="Verdana" w:cs="Times New Roman"/>
          <w:b/>
          <w:u w:val="single"/>
        </w:rPr>
      </w:pPr>
      <w:r w:rsidRPr="008616FC">
        <w:rPr>
          <w:rFonts w:ascii="Verdana" w:hAnsi="Verdana" w:cs="Times New Roman"/>
          <w:b/>
          <w:u w:val="single"/>
        </w:rPr>
        <w:t xml:space="preserve">EMENDA ADITIVA E MODIFICATIVA Nº </w:t>
      </w:r>
      <w:r w:rsidRPr="008616FC">
        <w:rPr>
          <w:rFonts w:ascii="Verdana" w:hAnsi="Verdana" w:cs="Times New Roman"/>
          <w:b/>
          <w:u w:val="single"/>
        </w:rPr>
        <w:t>004</w:t>
      </w:r>
      <w:r w:rsidRPr="008616FC">
        <w:rPr>
          <w:rFonts w:ascii="Verdana" w:hAnsi="Verdana" w:cs="Times New Roman"/>
          <w:b/>
          <w:u w:val="single"/>
        </w:rPr>
        <w:t>/2023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center"/>
        <w:rPr>
          <w:rFonts w:ascii="Verdana" w:hAnsi="Verdana"/>
          <w:b/>
        </w:rPr>
      </w:pPr>
      <w:r w:rsidRPr="008616FC">
        <w:rPr>
          <w:rFonts w:ascii="Verdana" w:hAnsi="Verdana" w:cs="Times New Roman"/>
          <w:b/>
          <w:u w:val="single"/>
        </w:rPr>
        <w:t>AO PROJETO DE LEI DE DIRETRIZES ORÇAMENTÁRIAS</w:t>
      </w:r>
      <w:r w:rsidRPr="008616FC">
        <w:rPr>
          <w:rFonts w:ascii="Verdana" w:hAnsi="Verdana"/>
          <w:b/>
          <w:u w:val="single"/>
        </w:rPr>
        <w:t xml:space="preserve"> Nº 47/2023</w:t>
      </w:r>
      <w:r w:rsidRPr="008616FC">
        <w:rPr>
          <w:rFonts w:ascii="Verdana" w:hAnsi="Verdana"/>
          <w:b/>
        </w:rPr>
        <w:t>.</w:t>
      </w:r>
    </w:p>
    <w:p w:rsidR="008616FC" w:rsidRPr="008616FC" w:rsidRDefault="008616FC" w:rsidP="008616FC">
      <w:pPr>
        <w:pStyle w:val="Standard"/>
        <w:spacing w:line="360" w:lineRule="auto"/>
        <w:ind w:firstLine="709"/>
        <w:rPr>
          <w:rFonts w:ascii="Verdana" w:hAnsi="Verdana"/>
          <w:b/>
        </w:rPr>
      </w:pPr>
      <w:r w:rsidRPr="008616FC">
        <w:rPr>
          <w:rFonts w:ascii="Verdana" w:hAnsi="Verdana"/>
          <w:b/>
        </w:rPr>
        <w:t>Autor:</w:t>
      </w:r>
      <w:r w:rsidRPr="008616FC">
        <w:rPr>
          <w:rFonts w:ascii="Verdana" w:hAnsi="Verdana"/>
          <w:b/>
        </w:rPr>
        <w:t xml:space="preserve"> Mesa Diretora</w:t>
      </w:r>
      <w:r w:rsidRPr="008616FC">
        <w:rPr>
          <w:rFonts w:ascii="Verdana" w:hAnsi="Verdana"/>
          <w:b/>
        </w:rPr>
        <w:t xml:space="preserve"> da Câmara Municipal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8616FC">
        <w:rPr>
          <w:rFonts w:ascii="Verdana" w:hAnsi="Verdana"/>
        </w:rPr>
        <w:tab/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8616FC">
        <w:rPr>
          <w:rFonts w:ascii="Verdana" w:hAnsi="Verdana"/>
          <w:b/>
        </w:rPr>
        <w:t>“</w:t>
      </w:r>
      <w:r w:rsidRPr="008616FC">
        <w:rPr>
          <w:rFonts w:ascii="Verdana" w:hAnsi="Verdana"/>
        </w:rPr>
        <w:t>D</w:t>
      </w:r>
      <w:r w:rsidRPr="008616FC">
        <w:rPr>
          <w:rFonts w:ascii="Verdana" w:hAnsi="Verdana" w:cs="Times New Roman"/>
        </w:rPr>
        <w:t>ispõe sobre a modificação redacional dos artigos 26, 42, 46 e 53 do projeto de Lei número 47/2023, o qual dispõe sobre as Diretrizes para a elaboração da Lei Orçamentária para o exercício de 2024, e dá outras providências</w:t>
      </w:r>
      <w:r w:rsidRPr="008616FC">
        <w:rPr>
          <w:rFonts w:ascii="Verdana" w:hAnsi="Verdana"/>
          <w:b/>
        </w:rPr>
        <w:t>”.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eastAsia="Calibri" w:hAnsi="Verdana"/>
        </w:rPr>
      </w:pPr>
      <w:r w:rsidRPr="008616FC">
        <w:rPr>
          <w:rFonts w:ascii="Verdana" w:eastAsia="Calibri" w:hAnsi="Verdana"/>
          <w:b/>
          <w:bCs/>
        </w:rPr>
        <w:t>O PREFEITO MUNICIPAL DE NOVA XAVANTINA, ESTADO DE MATO GROSSO,</w:t>
      </w:r>
      <w:r w:rsidRPr="008616FC">
        <w:rPr>
          <w:rFonts w:ascii="Verdana" w:eastAsia="Calibri" w:hAnsi="Verdana"/>
        </w:rPr>
        <w:t xml:space="preserve"> faz saber a Câmara Municipal aprovou que ele sanciona a emenda.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8616FC">
        <w:rPr>
          <w:rFonts w:ascii="Verdana" w:hAnsi="Verdana"/>
          <w:b/>
          <w:bCs/>
        </w:rPr>
        <w:t>Art. 1º.</w:t>
      </w:r>
      <w:r w:rsidRPr="008616FC">
        <w:rPr>
          <w:rFonts w:ascii="Verdana" w:hAnsi="Verdana"/>
        </w:rPr>
        <w:t xml:space="preserve"> Os a</w:t>
      </w:r>
      <w:r w:rsidRPr="008616FC">
        <w:rPr>
          <w:rFonts w:ascii="Verdana" w:hAnsi="Verdana" w:cs="Times New Roman"/>
        </w:rPr>
        <w:t>rtigos 26, 38, 42 e 46 do projeto de Lei número 47/2023 que dispõe sobre as Diretrizes para a elaboração da Lei Orçamentária para o exercício de 2024, passa a ter a seguinte redação: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:rsidR="008616FC" w:rsidRPr="008616FC" w:rsidRDefault="008616FC" w:rsidP="008616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i/>
        </w:rPr>
      </w:pPr>
      <w:proofErr w:type="gramStart"/>
      <w:r w:rsidRPr="008616FC">
        <w:rPr>
          <w:rFonts w:ascii="Verdana" w:hAnsi="Verdana"/>
          <w:b/>
          <w:bCs/>
        </w:rPr>
        <w:t>“</w:t>
      </w:r>
      <w:r w:rsidRPr="008616FC">
        <w:rPr>
          <w:rFonts w:ascii="Verdana" w:hAnsi="Verdana"/>
          <w:b/>
          <w:bCs/>
          <w:i/>
        </w:rPr>
        <w:t>Art. 26</w:t>
      </w:r>
      <w:r w:rsidRPr="008616FC">
        <w:rPr>
          <w:rFonts w:ascii="Verdana" w:hAnsi="Verdana"/>
          <w:i/>
        </w:rPr>
        <w:t>.</w:t>
      </w:r>
      <w:proofErr w:type="gramEnd"/>
      <w:r w:rsidRPr="008616FC">
        <w:rPr>
          <w:rFonts w:ascii="Verdana" w:hAnsi="Verdana"/>
          <w:i/>
        </w:rPr>
        <w:t xml:space="preserve"> As Despesas Obrigatórias de Caráter Continuado, observado o percentual máximo da Receita Corrente Líquida prevista na lei de responsabilidade fiscal (LC 101/00), poderão ser expandidas tomando-se por base as Despesas Obrigatórias de Caráter Continuado fixadas na Lei Orçamentária Anual para </w:t>
      </w:r>
      <w:r w:rsidRPr="008616FC">
        <w:rPr>
          <w:rFonts w:ascii="Verdana" w:hAnsi="Verdana"/>
          <w:b/>
          <w:i/>
        </w:rPr>
        <w:t>2023</w:t>
      </w:r>
      <w:r w:rsidRPr="008616FC">
        <w:rPr>
          <w:rFonts w:ascii="Verdana" w:hAnsi="Verdana"/>
          <w:i/>
        </w:rPr>
        <w:t>, podendo superá-las nos percentuais necessários para se efetivar a programação feita pela administração para o exercício financeiro de 2024 (art. 4º, § 2º da LRF).</w:t>
      </w:r>
    </w:p>
    <w:p w:rsidR="008616FC" w:rsidRPr="008616FC" w:rsidRDefault="008616FC" w:rsidP="008616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  <w:bCs/>
        </w:rPr>
      </w:pPr>
    </w:p>
    <w:p w:rsidR="008616FC" w:rsidRPr="008616FC" w:rsidRDefault="008616FC" w:rsidP="008616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</w:rPr>
      </w:pPr>
      <w:r w:rsidRPr="008616FC">
        <w:rPr>
          <w:rFonts w:ascii="Verdana" w:hAnsi="Verdana" w:cs="Calibri"/>
          <w:b/>
          <w:bCs/>
        </w:rPr>
        <w:lastRenderedPageBreak/>
        <w:t>Art. 38.</w:t>
      </w:r>
      <w:r w:rsidRPr="008616FC">
        <w:rPr>
          <w:rFonts w:ascii="Verdana" w:hAnsi="Verdana" w:cs="Calibri"/>
        </w:rPr>
        <w:t xml:space="preserve"> A execução do orçamento da Despesa obedecerá, dentro de cada Projeto, Atividade ou Operações Especiais, a dotação fixada para cada Grupo de Natureza de Despesa/Modalidade de Aplicação, com apropriação dos gastos nos respectivos elementos de que trata a Portaria STN nº 163/2001.</w:t>
      </w:r>
    </w:p>
    <w:p w:rsidR="008616FC" w:rsidRPr="008616FC" w:rsidRDefault="008616FC" w:rsidP="008616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</w:rPr>
      </w:pPr>
      <w:r w:rsidRPr="008616FC">
        <w:rPr>
          <w:rFonts w:ascii="Verdana" w:hAnsi="Verdana" w:cs="Calibri"/>
          <w:b/>
          <w:i/>
        </w:rPr>
        <w:t>Parágrafo único.</w:t>
      </w:r>
      <w:r w:rsidRPr="008616FC">
        <w:rPr>
          <w:rFonts w:ascii="Verdana" w:hAnsi="Verdana" w:cs="Calibri"/>
          <w:b/>
        </w:rPr>
        <w:t xml:space="preserve"> </w:t>
      </w:r>
      <w:r w:rsidRPr="008616FC">
        <w:rPr>
          <w:rFonts w:ascii="Verdana" w:hAnsi="Verdana" w:cs="Calibri"/>
        </w:rPr>
        <w:t>A transposição, o remanejamento ou a transferência de recursos de um Grupo de Natureza de Despesa/Modalidade de Aplicação para outro, dentro de cada Projeto, Atividade ou Operações Especiais</w:t>
      </w:r>
      <w:r w:rsidRPr="008616FC">
        <w:rPr>
          <w:rFonts w:ascii="Verdana" w:hAnsi="Verdana" w:cs="Calibri"/>
          <w:b/>
        </w:rPr>
        <w:t xml:space="preserve">, somente poderá ser feita por </w:t>
      </w:r>
      <w:proofErr w:type="gramStart"/>
      <w:r w:rsidRPr="008616FC">
        <w:rPr>
          <w:rFonts w:ascii="Verdana" w:hAnsi="Verdana" w:cs="Calibri"/>
          <w:b/>
        </w:rPr>
        <w:t>meio autorização</w:t>
      </w:r>
      <w:proofErr w:type="gramEnd"/>
      <w:r w:rsidRPr="008616FC">
        <w:rPr>
          <w:rFonts w:ascii="Verdana" w:hAnsi="Verdana" w:cs="Calibri"/>
          <w:b/>
        </w:rPr>
        <w:t xml:space="preserve"> legislativa, salvo </w:t>
      </w:r>
      <w:r w:rsidRPr="008616FC">
        <w:rPr>
          <w:rFonts w:ascii="Verdana" w:hAnsi="Verdana"/>
          <w:b/>
        </w:rPr>
        <w:t xml:space="preserve">no âmbito das atividades de ciência, tecnologia e inovação, com o objetivo de viabilizar os resultados de projetos restritos a essas funções, mediante </w:t>
      </w:r>
      <w:r w:rsidRPr="008616FC">
        <w:rPr>
          <w:rFonts w:ascii="Verdana" w:hAnsi="Verdana" w:cs="Calibri"/>
          <w:b/>
        </w:rPr>
        <w:t xml:space="preserve">Decreto </w:t>
      </w:r>
      <w:r w:rsidRPr="008616FC">
        <w:rPr>
          <w:rFonts w:ascii="Verdana" w:hAnsi="Verdana"/>
          <w:b/>
        </w:rPr>
        <w:t xml:space="preserve">do Poder Executivo, sem necessidade da prévia autorização legal, </w:t>
      </w:r>
      <w:r w:rsidRPr="008616FC">
        <w:rPr>
          <w:rFonts w:ascii="Verdana" w:hAnsi="Verdana" w:cs="Calibri"/>
          <w:b/>
        </w:rPr>
        <w:t>e por Decreto Legislativo do Presidente da Câmara no âmbito do Poder Legislativo (art. 167, VI da Constituição Federal).</w:t>
      </w:r>
    </w:p>
    <w:p w:rsidR="008616FC" w:rsidRPr="008616FC" w:rsidRDefault="008616FC" w:rsidP="008616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</w:rPr>
      </w:pPr>
    </w:p>
    <w:p w:rsidR="008616FC" w:rsidRPr="008616FC" w:rsidRDefault="008616FC" w:rsidP="008616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strike/>
        </w:rPr>
      </w:pPr>
      <w:r w:rsidRPr="008616FC">
        <w:rPr>
          <w:rFonts w:ascii="Verdana" w:hAnsi="Verdana" w:cs="Calibri"/>
          <w:b/>
          <w:strike/>
        </w:rPr>
        <w:t xml:space="preserve">Art. 42. </w:t>
      </w:r>
      <w:r w:rsidRPr="008616FC">
        <w:rPr>
          <w:rFonts w:ascii="Verdana" w:hAnsi="Verdana" w:cs="Calibri"/>
          <w:strike/>
        </w:rPr>
        <w:t xml:space="preserve">A Lei Orçamentária de 2024 poderá conter autorização para contratação de Operações de Crédito para atendimento </w:t>
      </w:r>
      <w:proofErr w:type="gramStart"/>
      <w:r w:rsidRPr="008616FC">
        <w:rPr>
          <w:rFonts w:ascii="Verdana" w:hAnsi="Verdana" w:cs="Calibri"/>
          <w:strike/>
        </w:rPr>
        <w:t>à</w:t>
      </w:r>
      <w:proofErr w:type="gramEnd"/>
      <w:r w:rsidRPr="008616FC">
        <w:rPr>
          <w:rFonts w:ascii="Verdana" w:hAnsi="Verdana" w:cs="Calibri"/>
          <w:strike/>
        </w:rPr>
        <w:t xml:space="preserve"> Despesas de Capital, observado o limite de endividamento, de até 50% das Receitas Correntes Líquidas apuradas até o final do semestre anterior a assinatura do contrato, na forma estabelecida na LRF (art. 30, 31 e 32).</w:t>
      </w:r>
    </w:p>
    <w:p w:rsidR="008616FC" w:rsidRPr="008616FC" w:rsidRDefault="008616FC" w:rsidP="008616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b/>
        </w:rPr>
      </w:pPr>
      <w:r w:rsidRPr="008616FC">
        <w:rPr>
          <w:rFonts w:ascii="Verdana" w:hAnsi="Verdana" w:cs="Calibri"/>
          <w:b/>
        </w:rPr>
        <w:t xml:space="preserve">Art. 42. </w:t>
      </w:r>
      <w:r w:rsidRPr="008616FC">
        <w:rPr>
          <w:rFonts w:ascii="Verdana" w:hAnsi="Verdana" w:cs="Calibri"/>
        </w:rPr>
        <w:t xml:space="preserve">A Lei Orçamentária de 2024 poderá conter autorização para contratação de Operações de Crédito para atendimento </w:t>
      </w:r>
      <w:proofErr w:type="gramStart"/>
      <w:r w:rsidRPr="008616FC">
        <w:rPr>
          <w:rFonts w:ascii="Verdana" w:hAnsi="Verdana" w:cs="Calibri"/>
        </w:rPr>
        <w:t>à</w:t>
      </w:r>
      <w:proofErr w:type="gramEnd"/>
      <w:r w:rsidRPr="008616FC">
        <w:rPr>
          <w:rFonts w:ascii="Verdana" w:hAnsi="Verdana" w:cs="Calibri"/>
        </w:rPr>
        <w:t xml:space="preserve"> Despesas de Capital, observado o limite de endividamento </w:t>
      </w:r>
      <w:r w:rsidRPr="008616FC">
        <w:rPr>
          <w:rFonts w:ascii="Verdana" w:hAnsi="Verdana" w:cs="Calibri"/>
          <w:b/>
        </w:rPr>
        <w:t>previsto no ordenamento jurídico vigente</w:t>
      </w:r>
      <w:r w:rsidRPr="008616FC">
        <w:rPr>
          <w:rFonts w:ascii="Verdana" w:hAnsi="Verdana" w:cs="Calibri"/>
        </w:rPr>
        <w:t xml:space="preserve">, na forma estabelecida na LRF (art. 30, 31 e 32), </w:t>
      </w:r>
      <w:r w:rsidRPr="008616FC">
        <w:rPr>
          <w:rFonts w:ascii="Verdana" w:hAnsi="Verdana" w:cs="Calibri"/>
          <w:b/>
        </w:rPr>
        <w:t>e em atenção às vedações revistas na legislação eleitoral nos anos de pleitos eletivos.</w:t>
      </w:r>
    </w:p>
    <w:p w:rsidR="008616FC" w:rsidRPr="008616FC" w:rsidRDefault="008616FC" w:rsidP="008616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</w:rPr>
      </w:pPr>
    </w:p>
    <w:p w:rsidR="008616FC" w:rsidRPr="008616FC" w:rsidRDefault="008616FC" w:rsidP="008616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Calibri"/>
          <w:strike/>
        </w:rPr>
      </w:pPr>
      <w:r w:rsidRPr="008616FC">
        <w:rPr>
          <w:rFonts w:ascii="Verdana" w:hAnsi="Verdana" w:cs="Calibri"/>
          <w:b/>
          <w:bCs/>
          <w:strike/>
        </w:rPr>
        <w:lastRenderedPageBreak/>
        <w:t>Art. 46.</w:t>
      </w:r>
      <w:r w:rsidRPr="008616FC">
        <w:rPr>
          <w:rFonts w:ascii="Verdana" w:hAnsi="Verdana" w:cs="Calibri"/>
          <w:strike/>
        </w:rPr>
        <w:t xml:space="preserve"> Ressalvada a hipótese do inciso X do artigo 37 da Constituição Federal, a despesa total com pessoal de cada um dos Poderes em 2024, Executivo e Legislativo, não excederá em Percentual da Receita Corrente Líquida, a despesa </w:t>
      </w:r>
      <w:proofErr w:type="gramStart"/>
      <w:r w:rsidRPr="008616FC">
        <w:rPr>
          <w:rFonts w:ascii="Verdana" w:hAnsi="Verdana" w:cs="Calibri"/>
          <w:strike/>
        </w:rPr>
        <w:t>verificada no exercício de 2022, acrescida de 10%, obedecido</w:t>
      </w:r>
      <w:proofErr w:type="gramEnd"/>
      <w:r w:rsidRPr="008616FC">
        <w:rPr>
          <w:rFonts w:ascii="Verdana" w:hAnsi="Verdana" w:cs="Calibri"/>
          <w:strike/>
        </w:rPr>
        <w:t xml:space="preserve"> o limite prudencial de 51,30% e 5,70% da Receita Corrente Líquida, respectivamente (art. 71 da LRF).</w:t>
      </w:r>
    </w:p>
    <w:p w:rsidR="008616FC" w:rsidRPr="008616FC" w:rsidRDefault="008616FC" w:rsidP="008616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</w:rPr>
      </w:pPr>
      <w:r w:rsidRPr="008616FC">
        <w:rPr>
          <w:rFonts w:ascii="Verdana" w:hAnsi="Verdana"/>
          <w:b/>
          <w:bCs/>
          <w:i/>
        </w:rPr>
        <w:t>Art. 46.</w:t>
      </w:r>
      <w:r w:rsidRPr="008616FC">
        <w:rPr>
          <w:rFonts w:ascii="Verdana" w:hAnsi="Verdana"/>
          <w:b/>
          <w:i/>
        </w:rPr>
        <w:t xml:space="preserve"> A despesa total com pessoal de cada um dos Poderes em 2023, Executivo e Legislativo, não excederá o limite prudencial de 51,30% e 5,70% da Receita Corrente Líquida, respectivamente (art. 71 da LRF), </w:t>
      </w:r>
      <w:r w:rsidRPr="008616FC">
        <w:rPr>
          <w:rFonts w:ascii="Verdana" w:hAnsi="Verdana" w:cs="Calibri"/>
          <w:b/>
        </w:rPr>
        <w:t>e se atentará às vedações previstas na legislação eleitoral nos anos de pleitos eletivos</w:t>
      </w:r>
      <w:r w:rsidRPr="008616FC">
        <w:rPr>
          <w:rFonts w:ascii="Verdana" w:hAnsi="Verdana"/>
          <w:b/>
          <w:bCs/>
          <w:i/>
        </w:rPr>
        <w:t>.</w:t>
      </w:r>
      <w:proofErr w:type="gramStart"/>
      <w:r w:rsidRPr="008616FC">
        <w:rPr>
          <w:rFonts w:ascii="Verdana" w:hAnsi="Verdana"/>
        </w:rPr>
        <w:t>”</w:t>
      </w:r>
      <w:proofErr w:type="gramEnd"/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  <w:r w:rsidRPr="008616FC">
        <w:rPr>
          <w:rFonts w:ascii="Verdana" w:hAnsi="Verdana"/>
          <w:b/>
          <w:bCs/>
        </w:rPr>
        <w:t xml:space="preserve">Art. 2º. </w:t>
      </w:r>
      <w:r w:rsidRPr="008616FC">
        <w:rPr>
          <w:rFonts w:ascii="Verdana" w:hAnsi="Verdana"/>
          <w:bCs/>
        </w:rPr>
        <w:t xml:space="preserve">O </w:t>
      </w:r>
      <w:r w:rsidRPr="008616FC">
        <w:rPr>
          <w:rFonts w:ascii="Verdana" w:hAnsi="Verdana" w:cs="Times New Roman"/>
        </w:rPr>
        <w:t>artigo</w:t>
      </w:r>
      <w:r w:rsidRPr="008616FC">
        <w:rPr>
          <w:rFonts w:ascii="Verdana" w:hAnsi="Verdana"/>
          <w:bCs/>
        </w:rPr>
        <w:t xml:space="preserve"> 53 do </w:t>
      </w:r>
      <w:r w:rsidRPr="008616FC">
        <w:rPr>
          <w:rFonts w:ascii="Verdana" w:hAnsi="Verdana" w:cs="Times New Roman"/>
        </w:rPr>
        <w:t xml:space="preserve">projeto de Lei nº 47/2023, passa a vigorar com a criação dos </w:t>
      </w:r>
      <w:r w:rsidRPr="008616FC">
        <w:rPr>
          <w:rFonts w:ascii="Verdana" w:hAnsi="Verdana" w:cs="Times New Roman"/>
          <w:b/>
        </w:rPr>
        <w:t>§§4º e 5º</w:t>
      </w:r>
      <w:r w:rsidRPr="008616FC">
        <w:rPr>
          <w:rFonts w:ascii="Verdana" w:hAnsi="Verdana" w:cs="Times New Roman"/>
        </w:rPr>
        <w:t xml:space="preserve">, </w:t>
      </w:r>
      <w:r w:rsidRPr="008616FC">
        <w:rPr>
          <w:rFonts w:ascii="Verdana" w:hAnsi="Verdana"/>
          <w:bCs/>
        </w:rPr>
        <w:t>e a seguinte redação</w:t>
      </w:r>
      <w:r w:rsidRPr="008616FC">
        <w:rPr>
          <w:rFonts w:ascii="Verdana" w:hAnsi="Verdana"/>
        </w:rPr>
        <w:t>: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  <w:r w:rsidRPr="008616FC">
        <w:rPr>
          <w:rFonts w:ascii="Verdana" w:hAnsi="Verdana"/>
          <w:b/>
          <w:bCs/>
        </w:rPr>
        <w:t xml:space="preserve"> 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proofErr w:type="gramStart"/>
      <w:r w:rsidRPr="008616FC">
        <w:rPr>
          <w:rFonts w:ascii="Verdana" w:hAnsi="Verdana" w:cs="Times New Roman"/>
          <w:b/>
        </w:rPr>
        <w:t>“Art. 53.</w:t>
      </w:r>
      <w:proofErr w:type="gramEnd"/>
      <w:r w:rsidRPr="008616FC">
        <w:rPr>
          <w:rFonts w:ascii="Verdana" w:hAnsi="Verdana" w:cs="Times New Roman"/>
          <w:b/>
        </w:rPr>
        <w:t xml:space="preserve"> </w:t>
      </w:r>
      <w:r w:rsidRPr="008616FC">
        <w:rPr>
          <w:rFonts w:ascii="Verdana" w:hAnsi="Verdana" w:cs="Times New Roman"/>
        </w:rPr>
        <w:t>O Executivo Municipal enviará a proposta orçamentária à Câmara Municipal no prazo estabelecido na Lei Orgânica do Município, que a apreciará e a devolverá para sanção até o encerramento do período legislativo anual.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8616FC">
        <w:rPr>
          <w:rFonts w:ascii="Verdana" w:hAnsi="Verdana" w:cs="Times New Roman"/>
          <w:b/>
        </w:rPr>
        <w:t xml:space="preserve">§1º. </w:t>
      </w:r>
      <w:r w:rsidRPr="008616FC">
        <w:rPr>
          <w:rFonts w:ascii="Verdana" w:hAnsi="Verdana" w:cs="Times New Roman"/>
        </w:rPr>
        <w:t>A proposta orçamentária deverá ser elaborada em observância ao art. 12 da L.C. nº 101 e ar gos 22 a 26 da Lei Federal 4.320/64.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/>
        </w:rPr>
      </w:pPr>
      <w:r w:rsidRPr="008616FC">
        <w:rPr>
          <w:rFonts w:ascii="Verdana" w:hAnsi="Verdana" w:cs="Times New Roman"/>
          <w:b/>
        </w:rPr>
        <w:t xml:space="preserve">§2º. </w:t>
      </w:r>
      <w:r w:rsidRPr="008616FC">
        <w:rPr>
          <w:rFonts w:ascii="Verdana" w:hAnsi="Verdana" w:cs="Times New Roman"/>
        </w:rPr>
        <w:t>A Câmara Municipal não entrará em recesso enquanto não cumprir o disposto no "caput" deste artigo.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/>
        </w:rPr>
      </w:pPr>
      <w:r w:rsidRPr="008616FC">
        <w:rPr>
          <w:rFonts w:ascii="Verdana" w:hAnsi="Verdana" w:cs="Times New Roman"/>
          <w:b/>
        </w:rPr>
        <w:t xml:space="preserve">§3º. </w:t>
      </w:r>
      <w:r w:rsidRPr="008616FC">
        <w:rPr>
          <w:rFonts w:ascii="Verdana" w:hAnsi="Verdana" w:cs="Times New Roman"/>
        </w:rPr>
        <w:t xml:space="preserve">Se o projeto de lei orçamentária anual não for encaminhado à sanção até o início do exercício financeiro de 2024, fica o Executivo Municipal autorizado </w:t>
      </w:r>
      <w:r w:rsidRPr="008616FC">
        <w:rPr>
          <w:rFonts w:ascii="Verdana" w:hAnsi="Verdana" w:cs="Times New Roman"/>
        </w:rPr>
        <w:lastRenderedPageBreak/>
        <w:t>a executar a proposta orçamentária</w:t>
      </w:r>
      <w:r w:rsidRPr="008616FC">
        <w:rPr>
          <w:rFonts w:ascii="Verdana" w:hAnsi="Verdana" w:cs="Times New Roman"/>
          <w:b/>
        </w:rPr>
        <w:t xml:space="preserve"> </w:t>
      </w:r>
      <w:r w:rsidRPr="008616FC">
        <w:rPr>
          <w:rFonts w:ascii="Verdana" w:hAnsi="Verdana" w:cs="Times New Roman"/>
        </w:rPr>
        <w:t>na forma original, até a sanção da respectiva lei orçamentária anual.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  <w:r w:rsidRPr="008616FC">
        <w:rPr>
          <w:rFonts w:ascii="Verdana" w:hAnsi="Verdana" w:cs="Times New Roman"/>
          <w:b/>
        </w:rPr>
        <w:t>§4º.</w:t>
      </w:r>
      <w:r w:rsidRPr="008616FC">
        <w:rPr>
          <w:rFonts w:ascii="Verdana" w:hAnsi="Verdana"/>
          <w:b/>
          <w:bCs/>
        </w:rPr>
        <w:t xml:space="preserve"> </w:t>
      </w:r>
      <w:r w:rsidRPr="008616FC">
        <w:rPr>
          <w:rFonts w:ascii="Verdana" w:hAnsi="Verdana"/>
          <w:b/>
          <w:bCs/>
          <w:i/>
        </w:rPr>
        <w:t>Os anexos desta lei, bem como seus valores previstos e estimados, serão automaticamente atualizados na medida em que forem alteradas as disposições da lei orçamentária anual, seja por meio de créditos adicionais, ou emendas à mesma</w:t>
      </w:r>
      <w:r w:rsidRPr="008616FC">
        <w:rPr>
          <w:rFonts w:ascii="Verdana" w:hAnsi="Verdana"/>
          <w:b/>
          <w:bCs/>
        </w:rPr>
        <w:t>.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  <w:r w:rsidRPr="008616FC">
        <w:rPr>
          <w:rFonts w:ascii="Verdana" w:hAnsi="Verdana" w:cs="Times New Roman"/>
          <w:b/>
        </w:rPr>
        <w:t>§5º.</w:t>
      </w:r>
      <w:r w:rsidRPr="008616FC">
        <w:rPr>
          <w:rFonts w:ascii="Verdana" w:hAnsi="Verdana" w:cstheme="minorHAnsi"/>
          <w:b/>
          <w:i/>
        </w:rPr>
        <w:t xml:space="preserve"> </w:t>
      </w:r>
      <w:proofErr w:type="gramStart"/>
      <w:r w:rsidRPr="008616FC">
        <w:rPr>
          <w:rFonts w:ascii="Verdana" w:hAnsi="Verdana" w:cstheme="minorHAnsi"/>
          <w:b/>
          <w:i/>
        </w:rPr>
        <w:t>Para a conformação aos limites legais fixados no ordenamento jurídico vigente, poderá o Poder Legislativo Municipal encaminhar ofício ao Poder Executivo para referida adequação.</w:t>
      </w:r>
      <w:r w:rsidRPr="008616FC">
        <w:rPr>
          <w:rFonts w:ascii="Verdana" w:hAnsi="Verdana"/>
          <w:b/>
          <w:bCs/>
        </w:rPr>
        <w:t>”</w:t>
      </w:r>
      <w:proofErr w:type="gramEnd"/>
      <w:r w:rsidRPr="008616FC">
        <w:rPr>
          <w:rFonts w:ascii="Verdana" w:hAnsi="Verdana"/>
          <w:b/>
          <w:bCs/>
        </w:rPr>
        <w:t>.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  <w:r w:rsidRPr="008616FC">
        <w:rPr>
          <w:rFonts w:ascii="Verdana" w:hAnsi="Verdana" w:cs="Times New Roman"/>
          <w:b/>
          <w:bCs/>
        </w:rPr>
        <w:t xml:space="preserve">Art. 3º.  </w:t>
      </w:r>
      <w:r w:rsidRPr="008616FC">
        <w:rPr>
          <w:rFonts w:ascii="Verdana" w:hAnsi="Verdana" w:cs="Times New Roman"/>
          <w:bCs/>
        </w:rPr>
        <w:t>Esta Emenda entra em vigor na data de sua publicação, produzindo-se efeitos imediatos em relação às peças orçamentárias para o exercício de 2024, revogadas as disposições em contrário.</w:t>
      </w:r>
    </w:p>
    <w:p w:rsidR="008616FC" w:rsidRPr="008616FC" w:rsidRDefault="008616FC" w:rsidP="008616FC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</w:p>
    <w:p w:rsidR="008616FC" w:rsidRPr="008616FC" w:rsidRDefault="008616FC" w:rsidP="008616FC">
      <w:pPr>
        <w:spacing w:line="360" w:lineRule="auto"/>
        <w:ind w:left="2124" w:firstLine="709"/>
        <w:rPr>
          <w:rFonts w:ascii="Verdana" w:hAnsi="Verdana" w:cs="Arial"/>
          <w:b/>
        </w:rPr>
      </w:pPr>
      <w:r w:rsidRPr="008616FC">
        <w:rPr>
          <w:rFonts w:ascii="Verdana" w:hAnsi="Verdana" w:cs="Arial"/>
          <w:b/>
        </w:rPr>
        <w:t>Palácio Adiel Antônio Ribeiro</w:t>
      </w:r>
    </w:p>
    <w:p w:rsidR="008616FC" w:rsidRPr="008616FC" w:rsidRDefault="008616FC" w:rsidP="008616FC">
      <w:pPr>
        <w:spacing w:line="360" w:lineRule="auto"/>
        <w:rPr>
          <w:rFonts w:ascii="Verdana" w:hAnsi="Verdana" w:cs="Arial"/>
          <w:b/>
        </w:rPr>
      </w:pPr>
      <w:r w:rsidRPr="008616FC">
        <w:rPr>
          <w:rFonts w:ascii="Verdana" w:hAnsi="Verdana" w:cs="Arial"/>
          <w:b/>
        </w:rPr>
        <w:t xml:space="preserve">                          Sala das Sessões da Câmara Municipal</w:t>
      </w:r>
    </w:p>
    <w:p w:rsidR="008616FC" w:rsidRPr="008616FC" w:rsidRDefault="008616FC" w:rsidP="008616FC">
      <w:pPr>
        <w:spacing w:line="360" w:lineRule="auto"/>
        <w:rPr>
          <w:rFonts w:ascii="Verdana" w:hAnsi="Verdana" w:cs="Arial"/>
          <w:b/>
        </w:rPr>
      </w:pPr>
      <w:r w:rsidRPr="008616FC">
        <w:rPr>
          <w:rFonts w:ascii="Verdana" w:hAnsi="Verdana" w:cs="Arial"/>
          <w:b/>
        </w:rPr>
        <w:t xml:space="preserve">                    Nova Xavantina/MT, </w:t>
      </w:r>
      <w:r w:rsidRPr="008616FC">
        <w:rPr>
          <w:rFonts w:ascii="Verdana" w:hAnsi="Verdana" w:cs="Arial"/>
          <w:b/>
        </w:rPr>
        <w:t>26 de outubro</w:t>
      </w:r>
      <w:r w:rsidRPr="008616FC">
        <w:rPr>
          <w:rFonts w:ascii="Verdana" w:hAnsi="Verdana" w:cs="Arial"/>
          <w:b/>
        </w:rPr>
        <w:t xml:space="preserve"> de 2023.</w:t>
      </w:r>
    </w:p>
    <w:p w:rsidR="008616FC" w:rsidRPr="008616FC" w:rsidRDefault="008616FC" w:rsidP="008616FC">
      <w:pPr>
        <w:spacing w:line="360" w:lineRule="auto"/>
        <w:rPr>
          <w:rFonts w:ascii="Verdana" w:hAnsi="Verdana" w:cs="Arial"/>
          <w:b/>
        </w:rPr>
      </w:pPr>
    </w:p>
    <w:p w:rsidR="008616FC" w:rsidRPr="008616FC" w:rsidRDefault="008616FC" w:rsidP="008616FC">
      <w:pPr>
        <w:spacing w:line="360" w:lineRule="auto"/>
        <w:rPr>
          <w:rFonts w:ascii="Verdana" w:hAnsi="Verdana" w:cs="Arial"/>
          <w:b/>
        </w:rPr>
      </w:pPr>
    </w:p>
    <w:p w:rsidR="008616FC" w:rsidRPr="008616FC" w:rsidRDefault="008616FC" w:rsidP="008616FC">
      <w:pPr>
        <w:rPr>
          <w:rFonts w:ascii="Verdana" w:hAnsi="Verdana" w:cs="Arial"/>
          <w:b/>
        </w:rPr>
      </w:pPr>
      <w:r w:rsidRPr="008616FC">
        <w:rPr>
          <w:rFonts w:ascii="Verdana" w:hAnsi="Verdana" w:cs="Arial"/>
          <w:b/>
        </w:rPr>
        <w:t xml:space="preserve">Elias Bueno de </w:t>
      </w:r>
      <w:r w:rsidR="007D2F37">
        <w:rPr>
          <w:rFonts w:ascii="Verdana" w:hAnsi="Verdana" w:cs="Arial"/>
          <w:b/>
        </w:rPr>
        <w:t xml:space="preserve">Souza                   </w:t>
      </w:r>
      <w:r w:rsidRPr="008616FC">
        <w:rPr>
          <w:rFonts w:ascii="Verdana" w:hAnsi="Verdana" w:cs="Arial"/>
          <w:b/>
        </w:rPr>
        <w:t>Sebastião Nunes de Oliveira-Curica</w:t>
      </w:r>
    </w:p>
    <w:p w:rsidR="008B5966" w:rsidRPr="008616FC" w:rsidRDefault="007D2F37" w:rsidP="008616F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 w:rsidR="008616FC" w:rsidRPr="008616FC">
        <w:rPr>
          <w:rFonts w:ascii="Verdana" w:hAnsi="Verdana"/>
          <w:b/>
        </w:rPr>
        <w:t xml:space="preserve"> Presidente                  </w:t>
      </w:r>
      <w:r>
        <w:rPr>
          <w:rFonts w:ascii="Verdana" w:hAnsi="Verdana"/>
          <w:b/>
        </w:rPr>
        <w:t xml:space="preserve">                         </w:t>
      </w:r>
      <w:bookmarkStart w:id="0" w:name="_GoBack"/>
      <w:bookmarkEnd w:id="0"/>
      <w:r w:rsidR="008616FC" w:rsidRPr="008616FC">
        <w:rPr>
          <w:rFonts w:ascii="Verdana" w:hAnsi="Verdana"/>
          <w:b/>
        </w:rPr>
        <w:t xml:space="preserve"> Vice Presidente</w:t>
      </w:r>
    </w:p>
    <w:p w:rsidR="008616FC" w:rsidRPr="008616FC" w:rsidRDefault="008616FC" w:rsidP="008616FC">
      <w:pPr>
        <w:rPr>
          <w:rFonts w:ascii="Verdana" w:hAnsi="Verdana"/>
          <w:b/>
        </w:rPr>
      </w:pPr>
    </w:p>
    <w:p w:rsidR="008616FC" w:rsidRPr="008616FC" w:rsidRDefault="008616FC" w:rsidP="008616FC">
      <w:pPr>
        <w:rPr>
          <w:rFonts w:ascii="Verdana" w:hAnsi="Verdana"/>
          <w:b/>
        </w:rPr>
      </w:pPr>
    </w:p>
    <w:p w:rsidR="008616FC" w:rsidRPr="008616FC" w:rsidRDefault="008616FC">
      <w:pPr>
        <w:rPr>
          <w:rFonts w:ascii="Verdana" w:hAnsi="Verdana"/>
          <w:b/>
        </w:rPr>
      </w:pPr>
    </w:p>
    <w:p w:rsidR="008616FC" w:rsidRPr="008616FC" w:rsidRDefault="008616FC">
      <w:pPr>
        <w:rPr>
          <w:rFonts w:ascii="Verdana" w:hAnsi="Verdana"/>
          <w:b/>
        </w:rPr>
      </w:pPr>
    </w:p>
    <w:p w:rsidR="008616FC" w:rsidRPr="008616FC" w:rsidRDefault="008616FC">
      <w:pPr>
        <w:rPr>
          <w:rFonts w:ascii="Verdana" w:hAnsi="Verdana"/>
          <w:b/>
        </w:rPr>
      </w:pPr>
      <w:r w:rsidRPr="008616FC">
        <w:rPr>
          <w:rFonts w:ascii="Verdana" w:hAnsi="Verdana"/>
          <w:b/>
        </w:rPr>
        <w:t>Jubio Carlos Montel de Moraes-Jubinha                  Paulo Cesar Trindade</w:t>
      </w:r>
    </w:p>
    <w:p w:rsidR="008616FC" w:rsidRPr="008616FC" w:rsidRDefault="008616FC">
      <w:pPr>
        <w:rPr>
          <w:rFonts w:ascii="Verdana" w:hAnsi="Verdana"/>
          <w:b/>
        </w:rPr>
      </w:pPr>
      <w:r w:rsidRPr="008616FC">
        <w:rPr>
          <w:rFonts w:ascii="Verdana" w:hAnsi="Verdana"/>
          <w:b/>
        </w:rPr>
        <w:t xml:space="preserve">           1º Secretario                                                             2º Secretario</w:t>
      </w:r>
    </w:p>
    <w:sectPr w:rsidR="008616FC" w:rsidRPr="008616FC" w:rsidSect="0080323E">
      <w:pgSz w:w="12240" w:h="15840"/>
      <w:pgMar w:top="354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FC"/>
    <w:rsid w:val="007D2F37"/>
    <w:rsid w:val="008616FC"/>
    <w:rsid w:val="008B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616F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616F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846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2023-10-26T18:01:00Z</dcterms:created>
  <dcterms:modified xsi:type="dcterms:W3CDTF">2023-10-26T18:13:00Z</dcterms:modified>
</cp:coreProperties>
</file>