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8F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410A8F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410A8F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410A8F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410A8F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87F04" w:rsidRPr="00EE0C99" w:rsidRDefault="00410A8F" w:rsidP="00410A8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</w:t>
      </w: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EI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LEGISLATIVO Nº 06</w:t>
      </w: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DE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30</w:t>
      </w:r>
      <w:proofErr w:type="gramStart"/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 </w:t>
      </w:r>
      <w:proofErr w:type="gramEnd"/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DE 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ABRIL</w:t>
      </w: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DE 2021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.</w:t>
      </w:r>
    </w:p>
    <w:p w:rsidR="00B87F04" w:rsidRPr="00EE0C99" w:rsidRDefault="00B87F04" w:rsidP="00B87F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87F04" w:rsidRPr="00EE0C99" w:rsidRDefault="00B87F04" w:rsidP="00B87F04">
      <w:pPr>
        <w:shd w:val="clear" w:color="auto" w:fill="FFFFFF"/>
        <w:spacing w:after="0" w:line="360" w:lineRule="auto"/>
        <w:ind w:left="1416" w:firstLine="2"/>
        <w:jc w:val="both"/>
        <w:rPr>
          <w:rFonts w:ascii="Arial" w:eastAsia="Times New Roman" w:hAnsi="Arial" w:cs="Arial"/>
          <w:i/>
          <w:color w:val="000000"/>
          <w:lang w:eastAsia="pt-BR"/>
        </w:rPr>
      </w:pPr>
      <w:r w:rsidRPr="00EE0C99">
        <w:rPr>
          <w:rFonts w:ascii="Arial" w:eastAsia="Times New Roman" w:hAnsi="Arial" w:cs="Arial"/>
          <w:i/>
          <w:color w:val="000000"/>
          <w:lang w:eastAsia="pt-BR"/>
        </w:rPr>
        <w:t>“</w:t>
      </w:r>
      <w:r>
        <w:rPr>
          <w:rFonts w:ascii="Arial" w:eastAsia="Times New Roman" w:hAnsi="Arial" w:cs="Arial"/>
          <w:i/>
          <w:color w:val="000000"/>
          <w:lang w:eastAsia="pt-BR"/>
        </w:rPr>
        <w:t xml:space="preserve">Altera as disposições atinentes ao procedimento e concessão de isenção do IPTU – Imposto Sobre a Propriedade Predial e Territorial Urbana, modificando o inciso III do artigo 37 da lei 921/01, alterando e transformando o parágrafo único em </w:t>
      </w:r>
      <w:r w:rsidRPr="0056759C">
        <w:rPr>
          <w:rFonts w:ascii="Arial" w:hAnsi="Arial" w:cs="Arial"/>
          <w:bCs/>
        </w:rPr>
        <w:t xml:space="preserve">§1º e criando os §§ 2º, 3º, 4º, 5º, 6º e 7º no mesmo </w:t>
      </w:r>
      <w:r w:rsidRPr="0056759C">
        <w:rPr>
          <w:rFonts w:ascii="Arial" w:eastAsia="Times New Roman" w:hAnsi="Arial" w:cs="Arial"/>
          <w:bCs/>
          <w:color w:val="000000"/>
          <w:lang w:eastAsia="pt-BR"/>
        </w:rPr>
        <w:t>artigo</w:t>
      </w:r>
      <w:proofErr w:type="gramStart"/>
      <w:r w:rsidRPr="00EE0C99">
        <w:rPr>
          <w:rFonts w:ascii="Arial" w:eastAsia="Times New Roman" w:hAnsi="Arial" w:cs="Arial"/>
          <w:i/>
          <w:color w:val="000000"/>
          <w:lang w:eastAsia="pt-BR"/>
        </w:rPr>
        <w:t>”</w:t>
      </w:r>
      <w:proofErr w:type="gramEnd"/>
    </w:p>
    <w:p w:rsidR="00B87F04" w:rsidRPr="00EE0C99" w:rsidRDefault="00B87F04" w:rsidP="00B87F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lang w:eastAsia="pt-BR"/>
        </w:rPr>
      </w:pPr>
      <w:r w:rsidRPr="00EE0C99"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Pr="00EE0C99">
        <w:rPr>
          <w:rFonts w:ascii="Arial" w:eastAsia="Times New Roman" w:hAnsi="Arial" w:cs="Arial"/>
          <w:b/>
          <w:color w:val="000000"/>
          <w:lang w:eastAsia="pt-BR"/>
        </w:rPr>
        <w:t>Prefeito do Município de Nova Xavantina</w:t>
      </w:r>
      <w:r w:rsidRPr="00EE0C99">
        <w:rPr>
          <w:rFonts w:ascii="Arial" w:eastAsia="Times New Roman" w:hAnsi="Arial" w:cs="Arial"/>
          <w:color w:val="000000"/>
          <w:lang w:eastAsia="pt-BR"/>
        </w:rPr>
        <w:t>, Estado de Mato Grosso, faz saber que a Câmara Municipal aprovou e ele sanciona a seguinte lei:</w:t>
      </w: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EE0C99">
        <w:rPr>
          <w:rFonts w:ascii="Arial" w:eastAsia="Times New Roman" w:hAnsi="Arial" w:cs="Arial"/>
          <w:b/>
          <w:bCs/>
          <w:color w:val="000000"/>
          <w:lang w:eastAsia="pt-BR"/>
        </w:rPr>
        <w:t>Art. 1° -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O inciso III do artigo 37 da lei 921/01 (Código Tributário Municipal) passa a ter a seguinte redação: </w:t>
      </w:r>
    </w:p>
    <w:p w:rsidR="00B87F04" w:rsidRPr="009F2C3D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III – 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O imóvel pertencente e utilizado para uso próprio, de cegos, deficientes/inválidos, </w:t>
      </w:r>
      <w:proofErr w:type="gramStart"/>
      <w:r w:rsidRPr="009F2C3D">
        <w:rPr>
          <w:rFonts w:ascii="Arial" w:eastAsia="Times New Roman" w:hAnsi="Arial" w:cs="Arial"/>
          <w:bCs/>
          <w:color w:val="000000"/>
          <w:lang w:eastAsia="pt-BR"/>
        </w:rPr>
        <w:t>idoso(</w:t>
      </w:r>
      <w:proofErr w:type="gramEnd"/>
      <w:r w:rsidRPr="009F2C3D">
        <w:rPr>
          <w:rFonts w:ascii="Arial" w:eastAsia="Times New Roman" w:hAnsi="Arial" w:cs="Arial"/>
          <w:bCs/>
          <w:color w:val="000000"/>
          <w:lang w:eastAsia="pt-BR"/>
        </w:rPr>
        <w:t>a)s, viúvo(a)s e aposentados, que possuam 01 um único imóvel, cujos rendimentos financeiros não ultrapasse</w:t>
      </w:r>
      <w:r>
        <w:rPr>
          <w:rFonts w:ascii="Arial" w:eastAsia="Times New Roman" w:hAnsi="Arial" w:cs="Arial"/>
          <w:bCs/>
          <w:color w:val="000000"/>
          <w:lang w:eastAsia="pt-BR"/>
        </w:rPr>
        <w:t>m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 26 (vinte e seis) salários mínimos anuais e seja sua </w:t>
      </w:r>
      <w:r w:rsidRPr="009F2C3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principal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 fonte de renda, podendo ser acrescido mais 01 (um) salário mínimo de rendas eventuais ao ano, </w:t>
      </w:r>
      <w:r w:rsidRPr="009F2C3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cuja comprovação observará as disposições dos parágrafos deste artigo.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2C3D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REDAÇÃO ANTERIOR: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III – 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O imóvel pertencente e utilizado para uso próprio, de cegos, deficientes/inválidos, </w:t>
      </w:r>
      <w:proofErr w:type="gramStart"/>
      <w:r w:rsidRPr="009F2C3D">
        <w:rPr>
          <w:rFonts w:ascii="Arial" w:eastAsia="Times New Roman" w:hAnsi="Arial" w:cs="Arial"/>
          <w:bCs/>
          <w:color w:val="000000"/>
          <w:lang w:eastAsia="pt-BR"/>
        </w:rPr>
        <w:t>idoso(</w:t>
      </w:r>
      <w:proofErr w:type="gramEnd"/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a)s, viúvo(a)s e aposentados, que possuam 01 um único imóvel, cujos rendimentos financeiros </w:t>
      </w:r>
      <w:r w:rsidRPr="009F2C3D">
        <w:rPr>
          <w:rFonts w:ascii="Arial" w:eastAsia="Times New Roman" w:hAnsi="Arial" w:cs="Arial"/>
          <w:b/>
          <w:bCs/>
          <w:strike/>
          <w:color w:val="000000"/>
          <w:lang w:eastAsia="pt-BR"/>
        </w:rPr>
        <w:t>fixos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 não ultrapasse 26 (vinte e seis) salários mínimos anuais e seja sua </w:t>
      </w:r>
      <w:r w:rsidRPr="009F2C3D">
        <w:rPr>
          <w:rFonts w:ascii="Arial" w:eastAsia="Times New Roman" w:hAnsi="Arial" w:cs="Arial"/>
          <w:b/>
          <w:bCs/>
          <w:strike/>
          <w:color w:val="000000"/>
          <w:lang w:eastAsia="pt-BR"/>
        </w:rPr>
        <w:t>única</w:t>
      </w:r>
      <w:r w:rsidRPr="009F2C3D">
        <w:rPr>
          <w:rFonts w:ascii="Arial" w:eastAsia="Times New Roman" w:hAnsi="Arial" w:cs="Arial"/>
          <w:bCs/>
          <w:color w:val="000000"/>
          <w:lang w:eastAsia="pt-BR"/>
        </w:rPr>
        <w:t xml:space="preserve"> fonte de renda, podendo ser acrescido mais 01 (um) salário mínimo de rendas eventuais ao ano, </w:t>
      </w:r>
      <w:r w:rsidRPr="009F2C3D">
        <w:rPr>
          <w:rFonts w:ascii="Arial" w:eastAsia="Times New Roman" w:hAnsi="Arial" w:cs="Arial"/>
          <w:b/>
          <w:bCs/>
          <w:strike/>
          <w:color w:val="000000"/>
          <w:lang w:eastAsia="pt-BR"/>
        </w:rPr>
        <w:t>sendo suficiente para comprovar a concessão da isenção de que trata este inciso a declaração de imposto de renda do ano anterior, ou informe de rendimento do exercício anterior, que terão validade de 2 (dois) anos</w:t>
      </w:r>
      <w:r>
        <w:rPr>
          <w:rFonts w:ascii="Arial" w:eastAsia="Times New Roman" w:hAnsi="Arial" w:cs="Arial"/>
          <w:bCs/>
          <w:color w:val="000000"/>
          <w:lang w:eastAsia="pt-BR"/>
        </w:rPr>
        <w:t>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- O Parágrafo Único do artigo 37 da lei 921/01 passa ser </w:t>
      </w: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1º, e conter a seguinte redação:</w:t>
      </w: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Pr="00EE0C99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1º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As isenções de que tratam este artigo, somente serão concedidas mediante requerimento do interessado ou beneficiado, devidamente formalizado, o qual poderá ser feito pessoalmente ou por meios informatizados, nos termos do regulamento a ser expedido por meio de decreto.”</w:t>
      </w: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EE0C99">
        <w:rPr>
          <w:rFonts w:ascii="Arial" w:hAnsi="Arial" w:cs="Arial"/>
          <w:b/>
        </w:rPr>
        <w:t>Art. 3º -</w:t>
      </w:r>
      <w:r w:rsidRPr="00EE0C9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Ficam criados os </w:t>
      </w:r>
      <w:r w:rsidRPr="00704E71">
        <w:rPr>
          <w:rFonts w:ascii="Arial" w:hAnsi="Arial" w:cs="Arial"/>
          <w:b/>
          <w:bCs/>
        </w:rPr>
        <w:t>§§</w:t>
      </w:r>
      <w:r>
        <w:rPr>
          <w:rFonts w:ascii="Arial" w:hAnsi="Arial" w:cs="Arial"/>
          <w:b/>
          <w:bCs/>
        </w:rPr>
        <w:t xml:space="preserve"> 2º, 3º, 4º, 5º, 6º e 7º no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artigo 37 da lei 921/01, com a seguinte redação: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“</w:t>
      </w: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2º -</w:t>
      </w:r>
      <w:r w:rsidRPr="001C66E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No caso da hipótese de isenção do inciso III deste artigo, o requerimento do parágrafo anterior poderá ser feito pelo próprio</w:t>
      </w:r>
      <w:r w:rsidRPr="001C66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interessado, beneficiado, representante legal</w:t>
      </w:r>
      <w:r w:rsidRPr="0038121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ou mesmo por parente consanguíneo ou afim até o segundo grau, em linha reta ou colateral, mediante assinatura conjunta do beneficiário/proprietário, e comprovação de parentesco por </w:t>
      </w:r>
      <w:proofErr w:type="gramStart"/>
      <w:r>
        <w:rPr>
          <w:rFonts w:ascii="Arial" w:hAnsi="Arial" w:cs="Arial"/>
          <w:bCs/>
        </w:rPr>
        <w:t>quaisquer meio hábil</w:t>
      </w:r>
      <w:proofErr w:type="gramEnd"/>
      <w:r>
        <w:rPr>
          <w:rFonts w:ascii="Arial" w:hAnsi="Arial" w:cs="Arial"/>
          <w:bCs/>
        </w:rPr>
        <w:t>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3º - </w:t>
      </w:r>
      <w:r w:rsidRPr="00381211">
        <w:rPr>
          <w:rFonts w:ascii="Arial" w:hAnsi="Arial" w:cs="Arial"/>
          <w:bCs/>
        </w:rPr>
        <w:t>Para fins de facilitar e dinamizar a verificação do atendimento dos requisitos necessários para o deferimento das isenções</w:t>
      </w:r>
      <w:r>
        <w:rPr>
          <w:rFonts w:ascii="Arial" w:hAnsi="Arial" w:cs="Arial"/>
          <w:bCs/>
        </w:rPr>
        <w:t xml:space="preserve"> contidas no inciso III</w:t>
      </w:r>
      <w:r w:rsidRPr="00381211">
        <w:rPr>
          <w:rFonts w:ascii="Arial" w:hAnsi="Arial" w:cs="Arial"/>
          <w:bCs/>
        </w:rPr>
        <w:t xml:space="preserve"> deste artigo, a administração tributária, através dos órgãos competentes, </w:t>
      </w:r>
      <w:r w:rsidRPr="005F0D49">
        <w:rPr>
          <w:rFonts w:ascii="Arial" w:hAnsi="Arial" w:cs="Arial"/>
          <w:b/>
          <w:bCs/>
        </w:rPr>
        <w:t>criará um cadastro que conterá as informações essenciais de cada interessado, beneficiado, representante legal ou parente consanguíneo ou afim até o segundo grau, em linha reta ou colateral que tenha feito o requerimento, em co</w:t>
      </w:r>
      <w:r>
        <w:rPr>
          <w:rFonts w:ascii="Arial" w:hAnsi="Arial" w:cs="Arial"/>
          <w:b/>
          <w:bCs/>
        </w:rPr>
        <w:t>njunto com o beneficiário, de isenção de IPTU do imóvel, que também será cadastrado e receberá informações constantes do Cartório de Registro de Imóveis sobre quaisquer alterações averbadas.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4º - Os requisitos para a concessão da isenção do inciso III deste artigo são cumulativos, podendo ser deferida a apenas um membro da família, considerada em linha reta</w:t>
      </w:r>
      <w:r w:rsidRPr="00DB75E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parentesco, </w:t>
      </w:r>
      <w:r w:rsidRPr="005F0D49">
        <w:rPr>
          <w:rFonts w:ascii="Arial" w:hAnsi="Arial" w:cs="Arial"/>
          <w:b/>
          <w:bCs/>
        </w:rPr>
        <w:t>consanguíneo ou afim</w:t>
      </w:r>
      <w:r>
        <w:rPr>
          <w:rFonts w:ascii="Arial" w:hAnsi="Arial" w:cs="Arial"/>
          <w:b/>
          <w:bCs/>
        </w:rPr>
        <w:t>,</w:t>
      </w:r>
      <w:r w:rsidRPr="005F0D4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até o segundo grau.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5º - Para fins de aferição da renda parâmetro para o deferimento da isenção do inciso III deste artigo, será suficiente a apresentação de quaisquer dos seguintes documentos: </w:t>
      </w: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10A8F" w:rsidRDefault="00410A8F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– Declaração de imposto de renda;</w:t>
      </w:r>
    </w:p>
    <w:p w:rsidR="00B87F04" w:rsidRDefault="00410A8F" w:rsidP="00410A8F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="00B87F04">
        <w:rPr>
          <w:rFonts w:ascii="Arial" w:hAnsi="Arial" w:cs="Arial"/>
          <w:b/>
          <w:bCs/>
        </w:rPr>
        <w:t>II – Contracheques, Holerites ou Declaração de Renda expedida pelo INSS, no caso de aposentados, pensionistas ou beneficiários securitários;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– Quaisquer comprovantes de recebimento de remuneração, informe de rendimentos ou renda mensal durante o período anual;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6º - Não será </w:t>
      </w:r>
      <w:proofErr w:type="gramStart"/>
      <w:r>
        <w:rPr>
          <w:rFonts w:ascii="Arial" w:hAnsi="Arial" w:cs="Arial"/>
          <w:b/>
          <w:bCs/>
        </w:rPr>
        <w:t>exigido a apresentação de extratos bancários</w:t>
      </w:r>
      <w:proofErr w:type="gramEnd"/>
      <w:r>
        <w:rPr>
          <w:rFonts w:ascii="Arial" w:hAnsi="Arial" w:cs="Arial"/>
          <w:b/>
          <w:bCs/>
        </w:rPr>
        <w:t xml:space="preserve"> para fins de verificação da renda anual, sendo suficiente a apresentação de quaisquer dos documentos acima para a aferição da renda dos beneficiários cadastrados, nos termos do </w:t>
      </w: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3º deste artigo.</w:t>
      </w: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7º - O Poder Executivo Municipal terá o prazo de 120 (cento e vinte) dias para regulamentar os procedimentos necessários para criação do cadastro do </w:t>
      </w:r>
      <w:r w:rsidRPr="00704E71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3º deste artigo, e informatizar, facilitar e simplificar os pedidos de isenção de IPTU.</w:t>
      </w:r>
      <w:proofErr w:type="gramStart"/>
      <w:r>
        <w:rPr>
          <w:rFonts w:ascii="Arial" w:hAnsi="Arial" w:cs="Arial"/>
          <w:b/>
          <w:bCs/>
        </w:rPr>
        <w:t>”</w:t>
      </w:r>
      <w:proofErr w:type="gramEnd"/>
    </w:p>
    <w:p w:rsidR="00B87F04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37611">
        <w:rPr>
          <w:rFonts w:ascii="Arial" w:hAnsi="Arial" w:cs="Arial"/>
          <w:b/>
        </w:rPr>
        <w:t>Art. 4º</w:t>
      </w:r>
      <w:r>
        <w:rPr>
          <w:rFonts w:ascii="Arial" w:hAnsi="Arial" w:cs="Arial"/>
          <w:b/>
        </w:rPr>
        <w:t xml:space="preserve"> - </w:t>
      </w:r>
      <w:r w:rsidRPr="00EE0C99">
        <w:rPr>
          <w:rFonts w:ascii="Arial" w:hAnsi="Arial" w:cs="Arial"/>
        </w:rPr>
        <w:t xml:space="preserve">O Poder Executivo regulamentará </w:t>
      </w:r>
      <w:r>
        <w:rPr>
          <w:rFonts w:ascii="Arial" w:hAnsi="Arial" w:cs="Arial"/>
        </w:rPr>
        <w:t>as disposições desta</w:t>
      </w:r>
      <w:r w:rsidRPr="00EE0C99">
        <w:rPr>
          <w:rFonts w:ascii="Arial" w:hAnsi="Arial" w:cs="Arial"/>
        </w:rPr>
        <w:t xml:space="preserve"> Lei no que lhe couber, </w:t>
      </w:r>
      <w:r>
        <w:rPr>
          <w:rFonts w:ascii="Arial" w:hAnsi="Arial" w:cs="Arial"/>
        </w:rPr>
        <w:t>observadas as orientações de órgãos técnicos responsáveis</w:t>
      </w:r>
      <w:r w:rsidRPr="00EE0C99">
        <w:rPr>
          <w:rFonts w:ascii="Arial" w:hAnsi="Arial" w:cs="Arial"/>
        </w:rPr>
        <w:t xml:space="preserve">. </w:t>
      </w: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</w:p>
    <w:p w:rsidR="00B87F04" w:rsidRPr="00EE0C99" w:rsidRDefault="00B87F04" w:rsidP="00B87F04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lang w:eastAsia="pt-BR"/>
        </w:rPr>
      </w:pPr>
      <w:r w:rsidRPr="00EE0C99">
        <w:rPr>
          <w:rFonts w:ascii="Arial" w:hAnsi="Arial" w:cs="Arial"/>
          <w:b/>
        </w:rPr>
        <w:t xml:space="preserve">Art. 4º - </w:t>
      </w:r>
      <w:r w:rsidRPr="00EE0C99">
        <w:rPr>
          <w:rFonts w:ascii="Arial" w:hAnsi="Arial" w:cs="Arial"/>
        </w:rPr>
        <w:t xml:space="preserve">Esta Lei entra em </w:t>
      </w:r>
      <w:r>
        <w:rPr>
          <w:rFonts w:ascii="Arial" w:hAnsi="Arial" w:cs="Arial"/>
        </w:rPr>
        <w:t>vigor na data de sua publicação.</w:t>
      </w:r>
      <w:r w:rsidRPr="00EE0C99">
        <w:rPr>
          <w:rFonts w:ascii="Arial" w:eastAsia="Times New Roman" w:hAnsi="Arial" w:cs="Arial"/>
          <w:color w:val="000000"/>
          <w:lang w:eastAsia="pt-BR"/>
        </w:rPr>
        <w:t> </w:t>
      </w:r>
    </w:p>
    <w:p w:rsidR="00B87F04" w:rsidRPr="00B87F04" w:rsidRDefault="00B87F04" w:rsidP="00B87F0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B87F04" w:rsidRPr="00B87F04" w:rsidRDefault="00B87F04" w:rsidP="00B87F04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lang w:eastAsia="pt-BR"/>
        </w:rPr>
      </w:pPr>
      <w:r w:rsidRPr="00B87F04">
        <w:rPr>
          <w:rFonts w:ascii="Arial" w:eastAsia="Times New Roman" w:hAnsi="Arial" w:cs="Arial"/>
          <w:b/>
          <w:lang w:eastAsia="pt-BR"/>
        </w:rPr>
        <w:t>Sala das Sessões da Câmara Municipal</w:t>
      </w:r>
    </w:p>
    <w:p w:rsidR="00B87F04" w:rsidRPr="00B87F04" w:rsidRDefault="00B87F04" w:rsidP="00B87F0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B87F04">
        <w:rPr>
          <w:rFonts w:ascii="Arial" w:eastAsia="Times New Roman" w:hAnsi="Arial" w:cs="Arial"/>
          <w:b/>
          <w:lang w:eastAsia="pt-BR"/>
        </w:rPr>
        <w:t>Palácio Adiel Antônio Ribeiro</w:t>
      </w:r>
    </w:p>
    <w:p w:rsidR="00B87F04" w:rsidRPr="00B87F04" w:rsidRDefault="00B87F04" w:rsidP="00B87F0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B87F04">
        <w:rPr>
          <w:rFonts w:ascii="Arial" w:eastAsia="Times New Roman" w:hAnsi="Arial" w:cs="Arial"/>
          <w:b/>
          <w:lang w:eastAsia="pt-BR"/>
        </w:rPr>
        <w:t xml:space="preserve">Nova </w:t>
      </w:r>
      <w:r w:rsidR="00410A8F">
        <w:rPr>
          <w:rFonts w:ascii="Arial" w:eastAsia="Times New Roman" w:hAnsi="Arial" w:cs="Arial"/>
          <w:b/>
          <w:lang w:eastAsia="pt-BR"/>
        </w:rPr>
        <w:t xml:space="preserve">Xavantina-MT, </w:t>
      </w:r>
      <w:r>
        <w:rPr>
          <w:rFonts w:ascii="Arial" w:eastAsia="Times New Roman" w:hAnsi="Arial" w:cs="Arial"/>
          <w:b/>
          <w:lang w:eastAsia="pt-BR"/>
        </w:rPr>
        <w:t>3</w:t>
      </w:r>
      <w:r w:rsidR="00410A8F">
        <w:rPr>
          <w:rFonts w:ascii="Arial" w:eastAsia="Times New Roman" w:hAnsi="Arial" w:cs="Arial"/>
          <w:b/>
          <w:lang w:eastAsia="pt-BR"/>
        </w:rPr>
        <w:t>0 de abril</w:t>
      </w:r>
      <w:r w:rsidRPr="00B87F04">
        <w:rPr>
          <w:rFonts w:ascii="Arial" w:eastAsia="Times New Roman" w:hAnsi="Arial" w:cs="Arial"/>
          <w:b/>
          <w:lang w:eastAsia="pt-BR"/>
        </w:rPr>
        <w:t xml:space="preserve"> de 2021.</w:t>
      </w:r>
    </w:p>
    <w:p w:rsidR="00B87F04" w:rsidRPr="00B87F04" w:rsidRDefault="00B87F04" w:rsidP="00B87F04">
      <w:pPr>
        <w:spacing w:before="120" w:after="0" w:line="240" w:lineRule="auto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B87F04" w:rsidRPr="00B87F04" w:rsidRDefault="00B87F04" w:rsidP="00B87F04">
      <w:pPr>
        <w:spacing w:before="120" w:after="0" w:line="240" w:lineRule="auto"/>
        <w:ind w:firstLine="630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Jubio Carlos Montel de Moraes (</w:t>
      </w:r>
      <w:proofErr w:type="spellStart"/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Jubinha</w:t>
      </w:r>
      <w:proofErr w:type="spellEnd"/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)</w:t>
      </w:r>
    </w:p>
    <w:p w:rsidR="00B87F04" w:rsidRPr="00B87F04" w:rsidRDefault="00B87F04" w:rsidP="006D4BA5">
      <w:pPr>
        <w:spacing w:before="120" w:after="0" w:line="240" w:lineRule="auto"/>
        <w:ind w:firstLine="630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Presidente</w:t>
      </w:r>
    </w:p>
    <w:p w:rsidR="00B87F04" w:rsidRDefault="00B87F04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Anilton Silva de </w:t>
      </w:r>
      <w:proofErr w:type="gramStart"/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Moura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    </w:t>
      </w:r>
      <w:r w:rsidR="006D4BA5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       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Elias Bueno</w:t>
      </w:r>
      <w:proofErr w:type="gramEnd"/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de Souza</w:t>
      </w:r>
    </w:p>
    <w:p w:rsidR="00B87F04" w:rsidRDefault="00B87F04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Vice Presidente                             </w:t>
      </w:r>
      <w:r w:rsidR="006D4BA5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  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1º </w:t>
      </w:r>
      <w:proofErr w:type="gramStart"/>
      <w:r>
        <w:rPr>
          <w:rFonts w:ascii="Verdana" w:eastAsiaTheme="minorEastAsia" w:hAnsi="Verdana" w:cs="Times New Roman"/>
          <w:sz w:val="24"/>
          <w:szCs w:val="24"/>
          <w:lang w:eastAsia="pt-BR"/>
        </w:rPr>
        <w:t>Secretario</w:t>
      </w:r>
      <w:proofErr w:type="gramEnd"/>
    </w:p>
    <w:p w:rsidR="00B87F04" w:rsidRDefault="00B87F04" w:rsidP="00B87F04">
      <w:pPr>
        <w:spacing w:before="120" w:after="120" w:line="360" w:lineRule="auto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B87F04" w:rsidRDefault="00B87F04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>
        <w:rPr>
          <w:rFonts w:ascii="Verdana" w:eastAsiaTheme="minorEastAsia" w:hAnsi="Verdana" w:cs="Times New Roman"/>
          <w:sz w:val="24"/>
          <w:szCs w:val="24"/>
          <w:lang w:eastAsia="pt-BR"/>
        </w:rPr>
        <w:t>Sebastião Nunes de Oliveira</w:t>
      </w:r>
    </w:p>
    <w:p w:rsidR="00B87F04" w:rsidRDefault="00B87F04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  <w:r>
        <w:rPr>
          <w:rFonts w:ascii="Verdana" w:eastAsiaTheme="minorEastAsia" w:hAnsi="Verdana" w:cs="Times New Roman"/>
          <w:sz w:val="24"/>
          <w:szCs w:val="24"/>
          <w:lang w:eastAsia="pt-BR"/>
        </w:rPr>
        <w:t>2º Secretario</w:t>
      </w:r>
    </w:p>
    <w:p w:rsidR="00410A8F" w:rsidRDefault="00410A8F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410A8F" w:rsidRDefault="00410A8F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410A8F" w:rsidRDefault="00410A8F" w:rsidP="00B87F04">
      <w:pPr>
        <w:spacing w:before="120" w:after="0" w:line="240" w:lineRule="auto"/>
        <w:jc w:val="center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410A8F" w:rsidRPr="00B87F04" w:rsidRDefault="00410A8F" w:rsidP="006D4BA5">
      <w:pPr>
        <w:spacing w:before="120" w:after="0" w:line="240" w:lineRule="auto"/>
        <w:rPr>
          <w:rFonts w:ascii="Verdana" w:eastAsiaTheme="minorEastAsia" w:hAnsi="Verdana" w:cs="Times New Roman"/>
          <w:sz w:val="24"/>
          <w:szCs w:val="24"/>
          <w:lang w:eastAsia="pt-BR"/>
        </w:rPr>
      </w:pPr>
      <w:bookmarkStart w:id="0" w:name="_GoBack"/>
      <w:bookmarkEnd w:id="0"/>
    </w:p>
    <w:p w:rsidR="00B87F04" w:rsidRDefault="00B87F04" w:rsidP="00410A8F">
      <w:pPr>
        <w:spacing w:before="120" w:after="120" w:line="360" w:lineRule="auto"/>
        <w:ind w:firstLine="630"/>
        <w:jc w:val="both"/>
        <w:rPr>
          <w:rFonts w:ascii="Verdana" w:eastAsiaTheme="minorEastAsia" w:hAnsi="Verdana" w:cs="Times New Roman"/>
          <w:b/>
          <w:sz w:val="24"/>
          <w:szCs w:val="24"/>
          <w:lang w:eastAsia="pt-BR"/>
        </w:rPr>
      </w:pPr>
      <w:r w:rsidRPr="00410A8F">
        <w:rPr>
          <w:rFonts w:ascii="Verdana" w:eastAsiaTheme="minorEastAsia" w:hAnsi="Verdana" w:cs="Times New Roman"/>
          <w:b/>
          <w:sz w:val="24"/>
          <w:szCs w:val="24"/>
          <w:lang w:eastAsia="pt-BR"/>
        </w:rPr>
        <w:t>Demais Vereadores:</w:t>
      </w:r>
    </w:p>
    <w:p w:rsidR="00410A8F" w:rsidRPr="00B87F04" w:rsidRDefault="00410A8F" w:rsidP="00410A8F">
      <w:pPr>
        <w:spacing w:before="120" w:after="120" w:line="360" w:lineRule="auto"/>
        <w:ind w:firstLine="630"/>
        <w:jc w:val="both"/>
        <w:rPr>
          <w:rFonts w:ascii="Verdana" w:eastAsiaTheme="minorEastAsia" w:hAnsi="Verdana" w:cs="Times New Roman"/>
          <w:b/>
          <w:sz w:val="24"/>
          <w:szCs w:val="24"/>
          <w:lang w:eastAsia="pt-BR"/>
        </w:rPr>
      </w:pPr>
    </w:p>
    <w:p w:rsidR="00B87F04" w:rsidRDefault="00B87F04" w:rsidP="00410A8F">
      <w:pPr>
        <w:spacing w:before="120" w:after="120" w:line="360" w:lineRule="auto"/>
        <w:ind w:firstLine="630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Jose Altamiro da Silva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</w:t>
      </w: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Edemundo Ap. Gonçalves </w:t>
      </w:r>
      <w:proofErr w:type="gramStart"/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dos Reses</w:t>
      </w:r>
      <w:proofErr w:type="gramEnd"/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</w:t>
      </w:r>
    </w:p>
    <w:p w:rsidR="00410A8F" w:rsidRPr="00B87F04" w:rsidRDefault="00410A8F" w:rsidP="00410A8F">
      <w:pPr>
        <w:spacing w:before="120" w:after="120" w:line="360" w:lineRule="auto"/>
        <w:ind w:firstLine="630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B87F04" w:rsidRDefault="00B87F04" w:rsidP="00B87F04">
      <w:pPr>
        <w:spacing w:before="120" w:after="120" w:line="360" w:lineRule="auto"/>
        <w:ind w:firstLine="630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Ednaldo Fragas da Silva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</w:t>
      </w:r>
      <w:r w:rsidR="00410A8F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</w:t>
      </w:r>
      <w:r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Adriano Laurindo da Silva            </w:t>
      </w:r>
    </w:p>
    <w:p w:rsidR="00410A8F" w:rsidRDefault="00410A8F" w:rsidP="00410A8F">
      <w:pPr>
        <w:spacing w:before="120" w:after="120" w:line="360" w:lineRule="auto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410A8F" w:rsidRDefault="00410A8F" w:rsidP="00410A8F">
      <w:pPr>
        <w:spacing w:before="120" w:after="120" w:line="360" w:lineRule="auto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</w:t>
      </w:r>
      <w:r w:rsidR="00B87F04"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Eduardo Ribeiro da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Silva   </w:t>
      </w:r>
      <w:r w:rsidR="00B87F04"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W</w:t>
      </w:r>
      <w:r w:rsidR="00B87F04" w:rsidRPr="00B87F04">
        <w:rPr>
          <w:rFonts w:ascii="Verdana" w:eastAsiaTheme="minorEastAsia" w:hAnsi="Verdana" w:cs="Times New Roman"/>
          <w:sz w:val="24"/>
          <w:szCs w:val="24"/>
          <w:lang w:eastAsia="pt-BR"/>
        </w:rPr>
        <w:t>i</w:t>
      </w:r>
      <w:r>
        <w:rPr>
          <w:rFonts w:ascii="Verdana" w:eastAsiaTheme="minorEastAsia" w:hAnsi="Verdana" w:cs="Times New Roman"/>
          <w:sz w:val="24"/>
          <w:szCs w:val="24"/>
          <w:lang w:eastAsia="pt-BR"/>
        </w:rPr>
        <w:t>llian Mariano Batista</w:t>
      </w:r>
    </w:p>
    <w:p w:rsidR="00410A8F" w:rsidRDefault="00410A8F" w:rsidP="00410A8F">
      <w:pPr>
        <w:spacing w:before="120" w:after="120" w:line="360" w:lineRule="auto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</w:p>
    <w:p w:rsidR="00B87F04" w:rsidRPr="00B87F04" w:rsidRDefault="00410A8F" w:rsidP="00410A8F">
      <w:pPr>
        <w:spacing w:before="120" w:after="120" w:line="360" w:lineRule="auto"/>
        <w:jc w:val="both"/>
        <w:rPr>
          <w:rFonts w:ascii="Verdana" w:eastAsiaTheme="minorEastAsia" w:hAnsi="Verdana" w:cs="Times New Roman"/>
          <w:sz w:val="24"/>
          <w:szCs w:val="24"/>
          <w:lang w:eastAsia="pt-BR"/>
        </w:rPr>
      </w:pPr>
      <w:r>
        <w:rPr>
          <w:rFonts w:ascii="Verdana" w:eastAsiaTheme="minorEastAsia" w:hAnsi="Verdana" w:cs="Times New Roman"/>
          <w:sz w:val="24"/>
          <w:szCs w:val="24"/>
          <w:lang w:eastAsia="pt-BR"/>
        </w:rPr>
        <w:t xml:space="preserve">                                     Carlos Antônio Cunha Resende</w:t>
      </w:r>
    </w:p>
    <w:p w:rsidR="00B87F04" w:rsidRDefault="00B87F04" w:rsidP="00B87F04">
      <w:pPr>
        <w:jc w:val="center"/>
      </w:pPr>
    </w:p>
    <w:sectPr w:rsidR="00B87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04"/>
    <w:rsid w:val="00410A8F"/>
    <w:rsid w:val="006D4BA5"/>
    <w:rsid w:val="008524B3"/>
    <w:rsid w:val="00B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04"/>
    <w:pPr>
      <w:spacing w:line="10" w:lineRule="atLeas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04"/>
    <w:pPr>
      <w:spacing w:line="10" w:lineRule="atLeas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2021-04-27T17:53:00Z</cp:lastPrinted>
  <dcterms:created xsi:type="dcterms:W3CDTF">2021-04-27T17:31:00Z</dcterms:created>
  <dcterms:modified xsi:type="dcterms:W3CDTF">2021-04-27T17:56:00Z</dcterms:modified>
</cp:coreProperties>
</file>