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3C" w:rsidRDefault="001A583C" w:rsidP="001A583C">
      <w:pPr>
        <w:spacing w:after="0" w:line="360" w:lineRule="auto"/>
        <w:jc w:val="both"/>
        <w:rPr>
          <w:rFonts w:ascii="Calibri" w:eastAsia="Times New Roman" w:hAnsi="Calibri" w:cs="Times New Roman"/>
          <w:color w:val="000000"/>
          <w:sz w:val="24"/>
          <w:szCs w:val="24"/>
          <w:lang w:eastAsia="pt-BR"/>
        </w:rPr>
      </w:pPr>
    </w:p>
    <w:p w:rsidR="001A583C" w:rsidRDefault="001A583C" w:rsidP="001A583C">
      <w:pPr>
        <w:spacing w:after="0" w:line="360" w:lineRule="auto"/>
        <w:jc w:val="both"/>
        <w:rPr>
          <w:rFonts w:ascii="Times New Roman" w:eastAsia="Times New Roman" w:hAnsi="Times New Roman" w:cs="Times New Roman"/>
          <w:b/>
          <w:bCs/>
          <w:sz w:val="24"/>
          <w:szCs w:val="24"/>
          <w:u w:val="single"/>
          <w:lang w:eastAsia="pt-BR"/>
        </w:rPr>
      </w:pPr>
      <w:r>
        <w:rPr>
          <w:rFonts w:ascii="Calibri" w:eastAsia="Times New Roman" w:hAnsi="Calibri" w:cs="Times New Roman"/>
          <w:b/>
          <w:bCs/>
          <w:color w:val="000000"/>
          <w:sz w:val="24"/>
          <w:szCs w:val="24"/>
          <w:u w:val="single"/>
          <w:lang w:eastAsia="pt-BR"/>
        </w:rPr>
        <w:t>PROJETO DE LEI DO LEGISLATIVO N° 02 DE 13 DE MARÇO DE 2020</w:t>
      </w:r>
    </w:p>
    <w:p w:rsidR="001A583C" w:rsidRDefault="001A583C" w:rsidP="001A583C">
      <w:pPr>
        <w:spacing w:after="0" w:line="360" w:lineRule="auto"/>
        <w:jc w:val="both"/>
        <w:rPr>
          <w:rFonts w:ascii="Calibri" w:eastAsia="Times New Roman" w:hAnsi="Calibri" w:cs="Times New Roman"/>
          <w:color w:val="000000"/>
          <w:sz w:val="24"/>
          <w:szCs w:val="24"/>
          <w:lang w:eastAsia="pt-BR"/>
        </w:rPr>
      </w:pPr>
    </w:p>
    <w:p w:rsidR="001A583C" w:rsidRDefault="001A583C" w:rsidP="001A583C">
      <w:pPr>
        <w:tabs>
          <w:tab w:val="left" w:pos="8460"/>
        </w:tabs>
        <w:spacing w:after="0" w:line="360" w:lineRule="auto"/>
        <w:ind w:left="3061"/>
        <w:jc w:val="both"/>
        <w:rPr>
          <w:rFonts w:ascii="Times New Roman" w:eastAsia="Times New Roman" w:hAnsi="Times New Roman" w:cs="Times New Roman"/>
          <w:sz w:val="24"/>
          <w:szCs w:val="24"/>
          <w:lang w:eastAsia="pt-BR"/>
        </w:rPr>
      </w:pPr>
      <w:r>
        <w:rPr>
          <w:rFonts w:ascii="Calibri" w:eastAsia="Times New Roman" w:hAnsi="Calibri" w:cs="Times New Roman"/>
          <w:color w:val="000000"/>
          <w:sz w:val="24"/>
          <w:szCs w:val="24"/>
          <w:lang w:eastAsia="pt-BR"/>
        </w:rPr>
        <w:t>“Dispõe sobre alteração da Lei Municipal n° 1.776, de 03 de fevereiro de 2014, e dá outras providências.”</w:t>
      </w:r>
    </w:p>
    <w:p w:rsidR="001A583C" w:rsidRDefault="001A583C" w:rsidP="001A583C">
      <w:pPr>
        <w:tabs>
          <w:tab w:val="left" w:pos="284"/>
        </w:tabs>
        <w:spacing w:after="0" w:line="360" w:lineRule="auto"/>
        <w:jc w:val="both"/>
        <w:rPr>
          <w:rFonts w:ascii="Calibri" w:eastAsia="Times New Roman" w:hAnsi="Calibri" w:cs="Times New Roman"/>
          <w:color w:val="000000"/>
          <w:sz w:val="24"/>
          <w:szCs w:val="24"/>
          <w:lang w:eastAsia="pt-BR"/>
        </w:rPr>
      </w:pPr>
    </w:p>
    <w:p w:rsidR="001A583C" w:rsidRDefault="001A583C" w:rsidP="001A583C">
      <w:pPr>
        <w:tabs>
          <w:tab w:val="left" w:pos="284"/>
        </w:tabs>
        <w:spacing w:after="0" w:line="360" w:lineRule="auto"/>
        <w:ind w:firstLine="851"/>
        <w:jc w:val="both"/>
        <w:rPr>
          <w:rFonts w:ascii="Times New Roman" w:eastAsia="Times New Roman" w:hAnsi="Times New Roman" w:cs="Times New Roman"/>
          <w:sz w:val="24"/>
          <w:szCs w:val="24"/>
          <w:lang w:eastAsia="pt-BR"/>
        </w:rPr>
      </w:pPr>
      <w:r>
        <w:rPr>
          <w:rFonts w:ascii="Calibri" w:eastAsia="Times New Roman" w:hAnsi="Calibri" w:cs="Times New Roman"/>
          <w:color w:val="000000"/>
          <w:sz w:val="24"/>
          <w:szCs w:val="24"/>
          <w:lang w:eastAsia="pt-BR"/>
        </w:rPr>
        <w:t xml:space="preserve">O </w:t>
      </w:r>
      <w:r>
        <w:rPr>
          <w:rFonts w:ascii="Calibri" w:eastAsia="Times New Roman" w:hAnsi="Calibri" w:cs="Times New Roman"/>
          <w:b/>
          <w:color w:val="000000"/>
          <w:sz w:val="24"/>
          <w:szCs w:val="24"/>
          <w:lang w:eastAsia="pt-BR"/>
        </w:rPr>
        <w:t>Prefeito do Município de Nova Xavantina</w:t>
      </w:r>
      <w:r>
        <w:rPr>
          <w:rFonts w:ascii="Calibri" w:eastAsia="Times New Roman" w:hAnsi="Calibri" w:cs="Times New Roman"/>
          <w:color w:val="000000"/>
          <w:sz w:val="24"/>
          <w:szCs w:val="24"/>
          <w:lang w:eastAsia="pt-BR"/>
        </w:rPr>
        <w:t>, Estado de Mato Grosso, faz saber que a Câmara municipal aprovou e ele sanciona a seguinte Lei:</w:t>
      </w:r>
    </w:p>
    <w:p w:rsidR="001A583C" w:rsidRDefault="001A583C" w:rsidP="001A583C">
      <w:pPr>
        <w:tabs>
          <w:tab w:val="left" w:pos="284"/>
        </w:tabs>
        <w:spacing w:after="0" w:line="360" w:lineRule="auto"/>
        <w:ind w:firstLine="851"/>
        <w:jc w:val="both"/>
        <w:rPr>
          <w:rFonts w:ascii="Calibri" w:eastAsia="Times New Roman" w:hAnsi="Calibri" w:cs="Times New Roman"/>
          <w:color w:val="000000"/>
          <w:sz w:val="24"/>
          <w:szCs w:val="24"/>
          <w:lang w:eastAsia="pt-BR"/>
        </w:rPr>
      </w:pPr>
    </w:p>
    <w:p w:rsidR="001A583C" w:rsidRDefault="001A583C" w:rsidP="001A583C">
      <w:pPr>
        <w:tabs>
          <w:tab w:val="left" w:pos="284"/>
          <w:tab w:val="left" w:pos="851"/>
        </w:tabs>
        <w:spacing w:after="0" w:line="360" w:lineRule="auto"/>
        <w:ind w:firstLine="851"/>
        <w:jc w:val="both"/>
        <w:rPr>
          <w:rFonts w:ascii="Calibri" w:hAnsi="Calibri"/>
          <w:color w:val="000000"/>
          <w:sz w:val="24"/>
          <w:szCs w:val="24"/>
        </w:rPr>
      </w:pPr>
      <w:r>
        <w:rPr>
          <w:rFonts w:ascii="Calibri" w:eastAsia="Times New Roman" w:hAnsi="Calibri" w:cs="Times New Roman"/>
          <w:b/>
          <w:color w:val="000000"/>
          <w:sz w:val="24"/>
          <w:szCs w:val="24"/>
          <w:lang w:eastAsia="pt-BR"/>
        </w:rPr>
        <w:t xml:space="preserve">Art. 1º – </w:t>
      </w:r>
      <w:r>
        <w:rPr>
          <w:rFonts w:ascii="Calibri" w:eastAsia="Times New Roman" w:hAnsi="Calibri" w:cs="Times New Roman"/>
          <w:color w:val="000000"/>
          <w:sz w:val="24"/>
          <w:szCs w:val="24"/>
          <w:lang w:eastAsia="pt-BR"/>
        </w:rPr>
        <w:t>Fica reestruturada a sistemática de cargos comissionados e funções de confiança da Câmara Municipal, bem como estabelecida a forma de remuneração dos cargos em comissão quando ocupados por servidor efetivo, a qual se dará na forma de gratificação e no valor estipulado nos quadros (anexos) do artigo 3º</w:t>
      </w:r>
      <w:proofErr w:type="gramStart"/>
      <w:r>
        <w:rPr>
          <w:rFonts w:ascii="Calibri" w:eastAsia="Times New Roman" w:hAnsi="Calibri" w:cs="Times New Roman"/>
          <w:color w:val="000000"/>
          <w:sz w:val="24"/>
          <w:szCs w:val="24"/>
          <w:lang w:eastAsia="pt-BR"/>
        </w:rPr>
        <w:t xml:space="preserve">  </w:t>
      </w:r>
      <w:proofErr w:type="gramEnd"/>
      <w:r>
        <w:rPr>
          <w:rFonts w:ascii="Calibri" w:eastAsia="Times New Roman" w:hAnsi="Calibri" w:cs="Times New Roman"/>
          <w:color w:val="000000"/>
          <w:sz w:val="24"/>
          <w:szCs w:val="24"/>
          <w:lang w:eastAsia="pt-BR"/>
        </w:rPr>
        <w:t>desta lei.</w:t>
      </w:r>
    </w:p>
    <w:p w:rsidR="001A583C" w:rsidRDefault="001A583C" w:rsidP="001A583C">
      <w:pPr>
        <w:tabs>
          <w:tab w:val="left" w:pos="284"/>
          <w:tab w:val="left" w:pos="851"/>
        </w:tabs>
        <w:spacing w:after="0" w:line="360" w:lineRule="auto"/>
        <w:ind w:firstLine="851"/>
        <w:jc w:val="both"/>
        <w:rPr>
          <w:rFonts w:eastAsia="Times New Roman" w:cs="Times New Roman"/>
          <w:b/>
          <w:lang w:eastAsia="pt-BR"/>
        </w:rPr>
      </w:pPr>
    </w:p>
    <w:p w:rsidR="001A583C" w:rsidRDefault="001A583C" w:rsidP="001A583C">
      <w:pPr>
        <w:tabs>
          <w:tab w:val="left" w:pos="284"/>
          <w:tab w:val="left" w:pos="851"/>
        </w:tabs>
        <w:spacing w:after="0" w:line="360" w:lineRule="auto"/>
        <w:ind w:firstLine="851"/>
        <w:jc w:val="both"/>
        <w:rPr>
          <w:rFonts w:ascii="Calibri" w:hAnsi="Calibri"/>
          <w:color w:val="000000"/>
          <w:sz w:val="24"/>
          <w:szCs w:val="24"/>
        </w:rPr>
      </w:pPr>
      <w:r>
        <w:rPr>
          <w:rFonts w:ascii="Calibri" w:eastAsia="Times New Roman" w:hAnsi="Calibri" w:cs="Times New Roman"/>
          <w:b/>
          <w:color w:val="000000"/>
          <w:sz w:val="24"/>
          <w:szCs w:val="24"/>
          <w:lang w:eastAsia="pt-BR"/>
        </w:rPr>
        <w:t xml:space="preserve">Art. 2º – Fica criado </w:t>
      </w:r>
      <w:r>
        <w:rPr>
          <w:rFonts w:ascii="Calibri" w:eastAsia="Times New Roman" w:hAnsi="Calibri" w:cs="Times New Roman"/>
          <w:color w:val="000000"/>
          <w:sz w:val="24"/>
          <w:szCs w:val="24"/>
          <w:lang w:eastAsia="pt-BR"/>
        </w:rPr>
        <w:t>o Cargo Em Comissão de Assessor de Tesouraria e Contabilidade, do quadro ocupacional da Câmara Municipal de Nova Xavantina, passando os artigos 28, 29 e 30 da Lei 1.776/2014 a ter a seguinte redação:</w:t>
      </w:r>
    </w:p>
    <w:p w:rsidR="001A583C" w:rsidRDefault="001A583C" w:rsidP="001A583C">
      <w:pPr>
        <w:spacing w:line="360" w:lineRule="auto"/>
        <w:ind w:firstLine="851"/>
        <w:jc w:val="both"/>
        <w:rPr>
          <w:color w:val="000000"/>
        </w:rPr>
      </w:pPr>
      <w:proofErr w:type="gramStart"/>
      <w:r>
        <w:rPr>
          <w:b/>
          <w:bCs/>
          <w:color w:val="000000"/>
        </w:rPr>
        <w:t>“Art. 28</w:t>
      </w:r>
      <w:r>
        <w:rPr>
          <w:color w:val="000000"/>
        </w:rPr>
        <w:t>.</w:t>
      </w:r>
      <w:proofErr w:type="gramEnd"/>
      <w:r>
        <w:rPr>
          <w:color w:val="000000"/>
        </w:rPr>
        <w:t xml:space="preserve"> Incumbe a Divisão de Tesouraria a execução das seguintes atividades: </w:t>
      </w:r>
    </w:p>
    <w:p w:rsidR="001A583C" w:rsidRDefault="001A583C" w:rsidP="001A583C">
      <w:pPr>
        <w:spacing w:line="360" w:lineRule="auto"/>
        <w:ind w:firstLine="851"/>
        <w:jc w:val="both"/>
        <w:rPr>
          <w:color w:val="000000"/>
        </w:rPr>
      </w:pPr>
      <w:r>
        <w:rPr>
          <w:b/>
          <w:bCs/>
          <w:color w:val="000000"/>
        </w:rPr>
        <w:t>I –</w:t>
      </w:r>
      <w:r>
        <w:rPr>
          <w:color w:val="000000"/>
        </w:rPr>
        <w:t xml:space="preserve"> Gerir o caixa da Câmara, onde deve conter toda a movimentação financeira;</w:t>
      </w:r>
    </w:p>
    <w:p w:rsidR="001A583C" w:rsidRDefault="001A583C" w:rsidP="001A583C">
      <w:pPr>
        <w:spacing w:line="360" w:lineRule="auto"/>
        <w:ind w:firstLine="851"/>
        <w:jc w:val="both"/>
        <w:rPr>
          <w:color w:val="000000"/>
        </w:rPr>
      </w:pPr>
      <w:r>
        <w:rPr>
          <w:b/>
          <w:bCs/>
          <w:color w:val="000000"/>
        </w:rPr>
        <w:t>II –</w:t>
      </w:r>
      <w:r>
        <w:rPr>
          <w:color w:val="000000"/>
        </w:rPr>
        <w:t xml:space="preserve"> Manter as contas bancárias devidamente conciliadas;</w:t>
      </w:r>
    </w:p>
    <w:p w:rsidR="001A583C" w:rsidRDefault="001A583C" w:rsidP="001A583C">
      <w:pPr>
        <w:spacing w:line="360" w:lineRule="auto"/>
        <w:ind w:firstLine="851"/>
        <w:jc w:val="both"/>
        <w:rPr>
          <w:color w:val="000000"/>
        </w:rPr>
      </w:pPr>
      <w:r>
        <w:rPr>
          <w:b/>
          <w:bCs/>
          <w:color w:val="000000"/>
        </w:rPr>
        <w:t>III –</w:t>
      </w:r>
      <w:r>
        <w:rPr>
          <w:color w:val="000000"/>
        </w:rPr>
        <w:t xml:space="preserve"> Conferir todos os valores pagos;</w:t>
      </w:r>
    </w:p>
    <w:p w:rsidR="001A583C" w:rsidRDefault="001A583C" w:rsidP="001A583C">
      <w:pPr>
        <w:spacing w:line="360" w:lineRule="auto"/>
        <w:ind w:firstLine="851"/>
        <w:jc w:val="both"/>
        <w:rPr>
          <w:color w:val="000000"/>
        </w:rPr>
      </w:pPr>
      <w:r>
        <w:rPr>
          <w:b/>
          <w:bCs/>
          <w:color w:val="000000"/>
        </w:rPr>
        <w:t xml:space="preserve">IV – </w:t>
      </w:r>
      <w:r>
        <w:rPr>
          <w:color w:val="000000"/>
        </w:rPr>
        <w:t>Receber, guardar e controlar valores e títulos da Câmara;</w:t>
      </w:r>
    </w:p>
    <w:p w:rsidR="001A583C" w:rsidRDefault="001A583C" w:rsidP="001A583C">
      <w:pPr>
        <w:spacing w:line="360" w:lineRule="auto"/>
        <w:ind w:firstLine="851"/>
        <w:jc w:val="both"/>
        <w:rPr>
          <w:color w:val="000000"/>
        </w:rPr>
      </w:pPr>
      <w:r>
        <w:rPr>
          <w:b/>
          <w:bCs/>
          <w:color w:val="000000"/>
        </w:rPr>
        <w:t>V –</w:t>
      </w:r>
      <w:r>
        <w:rPr>
          <w:color w:val="000000"/>
        </w:rPr>
        <w:t xml:space="preserve"> Efetuar o cronograma de desembolso da Câmara, definindo prioridades nos pagamentos;</w:t>
      </w:r>
    </w:p>
    <w:p w:rsidR="001A583C" w:rsidRDefault="001A583C" w:rsidP="001A583C">
      <w:pPr>
        <w:spacing w:line="360" w:lineRule="auto"/>
        <w:ind w:firstLine="851"/>
        <w:jc w:val="both"/>
        <w:rPr>
          <w:color w:val="000000"/>
        </w:rPr>
      </w:pPr>
      <w:r>
        <w:rPr>
          <w:b/>
          <w:bCs/>
          <w:color w:val="000000"/>
        </w:rPr>
        <w:lastRenderedPageBreak/>
        <w:t>VI –</w:t>
      </w:r>
      <w:r>
        <w:rPr>
          <w:color w:val="000000"/>
        </w:rPr>
        <w:t xml:space="preserve"> Descontar e recolher as obrigações sociais, trabalhistas e fiscais; </w:t>
      </w:r>
    </w:p>
    <w:p w:rsidR="001A583C" w:rsidRDefault="001A583C" w:rsidP="001A583C">
      <w:pPr>
        <w:spacing w:line="360" w:lineRule="auto"/>
        <w:ind w:firstLine="851"/>
        <w:jc w:val="both"/>
        <w:rPr>
          <w:color w:val="000000"/>
        </w:rPr>
      </w:pPr>
      <w:r>
        <w:rPr>
          <w:b/>
          <w:bCs/>
          <w:color w:val="000000"/>
        </w:rPr>
        <w:t>VII –</w:t>
      </w:r>
      <w:r>
        <w:rPr>
          <w:color w:val="000000"/>
        </w:rPr>
        <w:t xml:space="preserve"> Efetuar pagamentos;</w:t>
      </w:r>
    </w:p>
    <w:p w:rsidR="001A583C" w:rsidRDefault="001A583C" w:rsidP="001A583C">
      <w:pPr>
        <w:spacing w:line="360" w:lineRule="auto"/>
        <w:ind w:firstLine="851"/>
        <w:jc w:val="both"/>
        <w:rPr>
          <w:color w:val="000000"/>
        </w:rPr>
      </w:pPr>
      <w:r>
        <w:rPr>
          <w:b/>
          <w:bCs/>
          <w:color w:val="000000"/>
        </w:rPr>
        <w:t>VIII –</w:t>
      </w:r>
      <w:r>
        <w:rPr>
          <w:color w:val="000000"/>
        </w:rPr>
        <w:t xml:space="preserve"> Manter atualizada a escrituração dos livros;</w:t>
      </w:r>
    </w:p>
    <w:p w:rsidR="001A583C" w:rsidRDefault="001A583C" w:rsidP="001A583C">
      <w:pPr>
        <w:spacing w:line="360" w:lineRule="auto"/>
        <w:ind w:firstLine="851"/>
        <w:jc w:val="both"/>
        <w:rPr>
          <w:color w:val="000000"/>
        </w:rPr>
      </w:pPr>
      <w:r>
        <w:rPr>
          <w:b/>
          <w:bCs/>
          <w:color w:val="000000"/>
        </w:rPr>
        <w:t>IX –</w:t>
      </w:r>
      <w:r>
        <w:rPr>
          <w:color w:val="000000"/>
        </w:rPr>
        <w:t xml:space="preserve"> Emitir cheques e ordens de pagamento;</w:t>
      </w:r>
    </w:p>
    <w:p w:rsidR="001A583C" w:rsidRDefault="001A583C" w:rsidP="001A583C">
      <w:pPr>
        <w:spacing w:line="360" w:lineRule="auto"/>
        <w:ind w:firstLine="851"/>
        <w:jc w:val="both"/>
        <w:rPr>
          <w:color w:val="000000"/>
        </w:rPr>
      </w:pPr>
      <w:r>
        <w:rPr>
          <w:b/>
          <w:bCs/>
          <w:color w:val="000000"/>
        </w:rPr>
        <w:t>X –</w:t>
      </w:r>
      <w:r>
        <w:rPr>
          <w:color w:val="000000"/>
        </w:rPr>
        <w:t xml:space="preserve"> Colocar à disposição da Câmara Municipal o numerário correspondente as suas dotações orçamentárias, nos termos da Lei Orgânica do Município;</w:t>
      </w:r>
    </w:p>
    <w:p w:rsidR="001A583C" w:rsidRDefault="001A583C" w:rsidP="001A583C">
      <w:pPr>
        <w:spacing w:line="360" w:lineRule="auto"/>
        <w:ind w:firstLine="851"/>
        <w:jc w:val="both"/>
        <w:rPr>
          <w:color w:val="000000"/>
        </w:rPr>
      </w:pPr>
      <w:r>
        <w:rPr>
          <w:b/>
          <w:bCs/>
          <w:color w:val="000000"/>
        </w:rPr>
        <w:t>XI –</w:t>
      </w:r>
      <w:r>
        <w:rPr>
          <w:color w:val="000000"/>
        </w:rPr>
        <w:t xml:space="preserve"> Manter atualizado o controle de contas a pagar;</w:t>
      </w:r>
    </w:p>
    <w:p w:rsidR="001A583C" w:rsidRDefault="001A583C" w:rsidP="001A583C">
      <w:pPr>
        <w:spacing w:line="360" w:lineRule="auto"/>
        <w:ind w:firstLine="851"/>
        <w:jc w:val="both"/>
        <w:rPr>
          <w:color w:val="000000"/>
        </w:rPr>
      </w:pPr>
      <w:r>
        <w:rPr>
          <w:b/>
          <w:bCs/>
          <w:color w:val="000000"/>
        </w:rPr>
        <w:t>XII –</w:t>
      </w:r>
      <w:r>
        <w:rPr>
          <w:color w:val="000000"/>
        </w:rPr>
        <w:t xml:space="preserve"> Executar outras atividades afins.</w:t>
      </w:r>
    </w:p>
    <w:p w:rsidR="001A583C" w:rsidRDefault="001A583C" w:rsidP="001A583C">
      <w:pPr>
        <w:tabs>
          <w:tab w:val="left" w:pos="284"/>
        </w:tabs>
        <w:spacing w:line="360" w:lineRule="auto"/>
        <w:ind w:firstLine="851"/>
        <w:jc w:val="both"/>
        <w:rPr>
          <w:color w:val="000000"/>
        </w:rPr>
      </w:pPr>
      <w:r>
        <w:rPr>
          <w:b/>
          <w:bCs/>
          <w:color w:val="000000"/>
        </w:rPr>
        <w:t>Art. 29 –</w:t>
      </w:r>
      <w:r>
        <w:rPr>
          <w:color w:val="000000"/>
        </w:rPr>
        <w:t xml:space="preserve"> A Divisão de Tesouraria é composta pelo cargo de Assessor de Tesouraria, o qual realizará suas funções em auxílio ao Secretário de Administração e Finanças, e à divisão de Contadoria.</w:t>
      </w:r>
    </w:p>
    <w:p w:rsidR="001A583C" w:rsidRDefault="001A583C" w:rsidP="001A583C">
      <w:pPr>
        <w:tabs>
          <w:tab w:val="left" w:pos="284"/>
          <w:tab w:val="left" w:pos="851"/>
        </w:tabs>
        <w:spacing w:after="0" w:line="360" w:lineRule="auto"/>
        <w:ind w:firstLine="851"/>
        <w:jc w:val="both"/>
        <w:rPr>
          <w:color w:val="000000"/>
          <w:sz w:val="24"/>
          <w:szCs w:val="24"/>
        </w:rPr>
      </w:pPr>
      <w:r>
        <w:rPr>
          <w:rFonts w:ascii="Calibri" w:eastAsia="Times New Roman" w:hAnsi="Calibri" w:cs="Times New Roman"/>
          <w:b/>
          <w:bCs/>
          <w:color w:val="000000"/>
          <w:lang w:eastAsia="pt-BR"/>
        </w:rPr>
        <w:t>Art. 30.</w:t>
      </w:r>
      <w:r>
        <w:rPr>
          <w:rFonts w:ascii="Calibri" w:eastAsia="Times New Roman" w:hAnsi="Calibri" w:cs="Times New Roman"/>
          <w:color w:val="000000"/>
          <w:lang w:eastAsia="pt-BR"/>
        </w:rPr>
        <w:t xml:space="preserve"> O cargo de Tesoureiro é classificado como Cargo de Confiança, de livre nomeação, que deve ser ocupado por um servidor público desta Câmara Municipal, que atenda aos seguintes requisitos:</w:t>
      </w:r>
    </w:p>
    <w:p w:rsidR="001A583C" w:rsidRDefault="001A583C" w:rsidP="001A583C">
      <w:pPr>
        <w:tabs>
          <w:tab w:val="left" w:pos="284"/>
          <w:tab w:val="left" w:pos="851"/>
        </w:tabs>
        <w:spacing w:after="0" w:line="360" w:lineRule="auto"/>
        <w:ind w:firstLine="851"/>
        <w:jc w:val="both"/>
        <w:rPr>
          <w:color w:val="000000"/>
          <w:sz w:val="24"/>
          <w:szCs w:val="24"/>
        </w:rPr>
      </w:pPr>
      <w:r>
        <w:rPr>
          <w:rFonts w:ascii="Calibri" w:eastAsia="Times New Roman" w:hAnsi="Calibri" w:cs="Times New Roman"/>
          <w:b/>
          <w:bCs/>
          <w:color w:val="000000"/>
          <w:lang w:eastAsia="pt-BR"/>
        </w:rPr>
        <w:t xml:space="preserve">I – </w:t>
      </w:r>
      <w:r>
        <w:rPr>
          <w:rFonts w:ascii="Calibri" w:eastAsia="Times New Roman" w:hAnsi="Calibri" w:cs="Times New Roman"/>
          <w:color w:val="000000"/>
          <w:lang w:eastAsia="pt-BR"/>
        </w:rPr>
        <w:t>possuir curso superior;</w:t>
      </w:r>
    </w:p>
    <w:p w:rsidR="001A583C" w:rsidRDefault="001A583C" w:rsidP="001A583C">
      <w:pPr>
        <w:tabs>
          <w:tab w:val="left" w:pos="284"/>
          <w:tab w:val="left" w:pos="851"/>
        </w:tabs>
        <w:spacing w:after="0" w:line="360" w:lineRule="auto"/>
        <w:ind w:firstLine="851"/>
        <w:jc w:val="both"/>
        <w:rPr>
          <w:color w:val="000000"/>
          <w:sz w:val="24"/>
          <w:szCs w:val="24"/>
        </w:rPr>
      </w:pPr>
      <w:r>
        <w:rPr>
          <w:rFonts w:ascii="Calibri" w:eastAsia="Times New Roman" w:hAnsi="Calibri" w:cs="Times New Roman"/>
          <w:b/>
          <w:bCs/>
          <w:color w:val="000000"/>
          <w:lang w:eastAsia="pt-BR"/>
        </w:rPr>
        <w:t xml:space="preserve">II – </w:t>
      </w:r>
      <w:r>
        <w:rPr>
          <w:rFonts w:ascii="Calibri" w:eastAsia="Times New Roman" w:hAnsi="Calibri" w:cs="Times New Roman"/>
          <w:color w:val="000000"/>
          <w:lang w:eastAsia="pt-BR"/>
        </w:rPr>
        <w:t>reputação ilibada;</w:t>
      </w:r>
    </w:p>
    <w:p w:rsidR="001A583C" w:rsidRDefault="001A583C" w:rsidP="001A583C">
      <w:pPr>
        <w:tabs>
          <w:tab w:val="left" w:pos="284"/>
          <w:tab w:val="left" w:pos="851"/>
        </w:tabs>
        <w:spacing w:after="0" w:line="360" w:lineRule="auto"/>
        <w:ind w:firstLine="851"/>
        <w:jc w:val="both"/>
        <w:rPr>
          <w:color w:val="000000"/>
          <w:sz w:val="24"/>
          <w:szCs w:val="24"/>
        </w:rPr>
      </w:pPr>
      <w:proofErr w:type="gramStart"/>
      <w:r>
        <w:rPr>
          <w:rFonts w:ascii="Calibri" w:eastAsia="Times New Roman" w:hAnsi="Calibri" w:cs="Times New Roman"/>
          <w:b/>
          <w:bCs/>
          <w:color w:val="000000"/>
          <w:lang w:eastAsia="pt-BR"/>
        </w:rPr>
        <w:t>III –</w:t>
      </w:r>
      <w:r>
        <w:rPr>
          <w:rFonts w:ascii="Calibri" w:eastAsia="Times New Roman" w:hAnsi="Calibri" w:cs="Times New Roman"/>
          <w:color w:val="000000"/>
          <w:lang w:eastAsia="pt-BR"/>
        </w:rPr>
        <w:t xml:space="preserve"> Conhecimento prático ou técnico do exercício das funções enumerados no artigo 28.</w:t>
      </w:r>
      <w:r>
        <w:rPr>
          <w:rFonts w:ascii="Calibri" w:eastAsia="Times New Roman" w:hAnsi="Calibri" w:cs="Times New Roman"/>
          <w:b/>
          <w:bCs/>
          <w:color w:val="000000"/>
          <w:lang w:eastAsia="pt-BR"/>
        </w:rPr>
        <w:t>”</w:t>
      </w:r>
      <w:proofErr w:type="gramEnd"/>
      <w:r>
        <w:rPr>
          <w:rFonts w:ascii="Calibri" w:eastAsia="Times New Roman" w:hAnsi="Calibri" w:cs="Times New Roman"/>
          <w:b/>
          <w:bCs/>
          <w:color w:val="000000"/>
          <w:lang w:eastAsia="pt-BR"/>
        </w:rPr>
        <w:t xml:space="preserve"> </w:t>
      </w:r>
      <w:r>
        <w:rPr>
          <w:rFonts w:ascii="Calibri" w:eastAsia="Times New Roman" w:hAnsi="Calibri" w:cs="Times New Roman"/>
          <w:color w:val="000000"/>
          <w:sz w:val="24"/>
          <w:szCs w:val="24"/>
          <w:lang w:eastAsia="pt-BR"/>
        </w:rPr>
        <w:t xml:space="preserve"> </w:t>
      </w:r>
    </w:p>
    <w:p w:rsidR="001A583C" w:rsidRDefault="001A583C" w:rsidP="001A583C">
      <w:pPr>
        <w:tabs>
          <w:tab w:val="left" w:pos="284"/>
          <w:tab w:val="left" w:pos="851"/>
        </w:tabs>
        <w:spacing w:after="0" w:line="360" w:lineRule="auto"/>
        <w:ind w:firstLine="851"/>
        <w:jc w:val="both"/>
        <w:rPr>
          <w:rFonts w:eastAsia="Times New Roman" w:cs="Times New Roman"/>
          <w:lang w:eastAsia="pt-BR"/>
        </w:rPr>
      </w:pPr>
    </w:p>
    <w:p w:rsidR="001A583C" w:rsidRDefault="001A583C" w:rsidP="001A583C">
      <w:pPr>
        <w:tabs>
          <w:tab w:val="left" w:pos="284"/>
          <w:tab w:val="left" w:pos="851"/>
        </w:tabs>
        <w:spacing w:after="0" w:line="360" w:lineRule="auto"/>
        <w:ind w:firstLine="851"/>
        <w:jc w:val="both"/>
        <w:rPr>
          <w:rFonts w:ascii="Calibri" w:hAnsi="Calibri"/>
          <w:color w:val="000000"/>
          <w:sz w:val="24"/>
          <w:szCs w:val="24"/>
        </w:rPr>
      </w:pPr>
      <w:r>
        <w:rPr>
          <w:rFonts w:ascii="Calibri" w:eastAsia="Times New Roman" w:hAnsi="Calibri" w:cs="Times New Roman"/>
          <w:b/>
          <w:bCs/>
          <w:color w:val="000000"/>
          <w:sz w:val="24"/>
          <w:szCs w:val="24"/>
          <w:lang w:eastAsia="pt-BR"/>
        </w:rPr>
        <w:t>Art. 3º –</w:t>
      </w:r>
      <w:r>
        <w:rPr>
          <w:rFonts w:ascii="Calibri" w:eastAsia="Times New Roman" w:hAnsi="Calibri" w:cs="Times New Roman"/>
          <w:color w:val="000000"/>
          <w:sz w:val="24"/>
          <w:szCs w:val="24"/>
          <w:lang w:eastAsia="pt-BR"/>
        </w:rPr>
        <w:t xml:space="preserve"> </w:t>
      </w:r>
      <w:proofErr w:type="gramStart"/>
      <w:r>
        <w:rPr>
          <w:rFonts w:ascii="Calibri" w:eastAsia="Times New Roman" w:hAnsi="Calibri" w:cs="Times New Roman"/>
          <w:color w:val="000000"/>
          <w:sz w:val="24"/>
          <w:szCs w:val="24"/>
          <w:lang w:eastAsia="pt-BR"/>
        </w:rPr>
        <w:t>Revoga-se</w:t>
      </w:r>
      <w:proofErr w:type="gramEnd"/>
      <w:r>
        <w:rPr>
          <w:rFonts w:ascii="Calibri" w:eastAsia="Times New Roman" w:hAnsi="Calibri" w:cs="Times New Roman"/>
          <w:color w:val="000000"/>
          <w:sz w:val="24"/>
          <w:szCs w:val="24"/>
          <w:lang w:eastAsia="pt-BR"/>
        </w:rPr>
        <w:t xml:space="preserve"> as disposições dos quadros dos II e III da Lei 1776//2014, os quais passarão a viger com a seguinte redação:</w:t>
      </w:r>
    </w:p>
    <w:p w:rsidR="001A583C" w:rsidRDefault="001A583C" w:rsidP="001A583C">
      <w:pPr>
        <w:tabs>
          <w:tab w:val="left" w:pos="284"/>
          <w:tab w:val="left" w:pos="851"/>
        </w:tabs>
        <w:spacing w:after="0" w:line="360" w:lineRule="auto"/>
        <w:ind w:firstLine="851"/>
        <w:jc w:val="both"/>
        <w:rPr>
          <w:rFonts w:ascii="Calibri" w:eastAsia="Times New Roman" w:hAnsi="Calibri" w:cs="Times New Roman"/>
          <w:color w:val="000000"/>
          <w:sz w:val="24"/>
          <w:szCs w:val="24"/>
          <w:lang w:eastAsia="pt-BR"/>
        </w:rPr>
      </w:pPr>
    </w:p>
    <w:p w:rsidR="001A583C" w:rsidRDefault="001A583C" w:rsidP="001A583C">
      <w:pPr>
        <w:spacing w:line="360" w:lineRule="auto"/>
        <w:jc w:val="center"/>
        <w:rPr>
          <w:rFonts w:ascii="Calibri" w:hAnsi="Calibri"/>
          <w:color w:val="000000"/>
          <w:sz w:val="24"/>
          <w:szCs w:val="24"/>
        </w:rPr>
      </w:pPr>
      <w:r>
        <w:rPr>
          <w:rFonts w:ascii="Calibri" w:hAnsi="Calibri"/>
          <w:b/>
          <w:color w:val="000000"/>
          <w:sz w:val="24"/>
          <w:szCs w:val="24"/>
          <w:u w:val="single"/>
        </w:rPr>
        <w:t>ANEXO II</w:t>
      </w:r>
    </w:p>
    <w:p w:rsidR="001A583C" w:rsidRDefault="001A583C" w:rsidP="001A583C">
      <w:pPr>
        <w:spacing w:line="360" w:lineRule="auto"/>
        <w:jc w:val="center"/>
        <w:rPr>
          <w:rFonts w:ascii="Calibri" w:hAnsi="Calibri"/>
          <w:color w:val="000000"/>
          <w:sz w:val="24"/>
          <w:szCs w:val="24"/>
        </w:rPr>
      </w:pPr>
      <w:r>
        <w:rPr>
          <w:rFonts w:ascii="Calibri" w:hAnsi="Calibri"/>
          <w:color w:val="000000"/>
          <w:sz w:val="24"/>
          <w:szCs w:val="24"/>
        </w:rPr>
        <w:t xml:space="preserve">- </w:t>
      </w:r>
      <w:r>
        <w:rPr>
          <w:rFonts w:ascii="Calibri" w:hAnsi="Calibri"/>
          <w:bCs/>
          <w:color w:val="000000"/>
          <w:sz w:val="24"/>
          <w:szCs w:val="24"/>
        </w:rPr>
        <w:t>CATEGORIA OCUPACIONAL: CARGOS EM COMISSÃO</w:t>
      </w:r>
    </w:p>
    <w:tbl>
      <w:tblPr>
        <w:tblW w:w="10830" w:type="dxa"/>
        <w:tblInd w:w="-906" w:type="dxa"/>
        <w:tblBorders>
          <w:top w:val="single" w:sz="8" w:space="0" w:color="000000"/>
          <w:left w:val="single" w:sz="8" w:space="0" w:color="000000"/>
          <w:bottom w:val="single" w:sz="8" w:space="0" w:color="000000"/>
          <w:insideH w:val="single" w:sz="8" w:space="0" w:color="000000"/>
        </w:tblBorders>
        <w:tblCellMar>
          <w:left w:w="60" w:type="dxa"/>
          <w:right w:w="70" w:type="dxa"/>
        </w:tblCellMar>
        <w:tblLook w:val="04A0" w:firstRow="1" w:lastRow="0" w:firstColumn="1" w:lastColumn="0" w:noHBand="0" w:noVBand="1"/>
      </w:tblPr>
      <w:tblGrid>
        <w:gridCol w:w="136"/>
        <w:gridCol w:w="3727"/>
        <w:gridCol w:w="1918"/>
        <w:gridCol w:w="2457"/>
        <w:gridCol w:w="2592"/>
      </w:tblGrid>
      <w:tr w:rsidR="001A583C" w:rsidTr="005845A1">
        <w:trPr>
          <w:trHeight w:val="492"/>
        </w:trPr>
        <w:tc>
          <w:tcPr>
            <w:tcW w:w="120" w:type="dxa"/>
            <w:tcBorders>
              <w:top w:val="single" w:sz="8" w:space="0" w:color="000000"/>
              <w:left w:val="single" w:sz="8" w:space="0" w:color="000000"/>
              <w:bottom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p>
        </w:tc>
        <w:tc>
          <w:tcPr>
            <w:tcW w:w="10710" w:type="dxa"/>
            <w:gridSpan w:val="4"/>
            <w:tcBorders>
              <w:top w:val="single" w:sz="8" w:space="0" w:color="000000"/>
              <w:bottom w:val="single" w:sz="8"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b/>
                <w:bCs/>
                <w:color w:val="000000"/>
                <w:sz w:val="24"/>
                <w:szCs w:val="24"/>
              </w:rPr>
              <w:t>CATEGORIA OCUPACIONAL: CARGOS EM COMISSÃO</w:t>
            </w:r>
          </w:p>
        </w:tc>
      </w:tr>
      <w:tr w:rsidR="001A583C" w:rsidTr="005845A1">
        <w:trPr>
          <w:trHeight w:val="330"/>
        </w:trPr>
        <w:tc>
          <w:tcPr>
            <w:tcW w:w="3855" w:type="dxa"/>
            <w:gridSpan w:val="2"/>
            <w:tcBorders>
              <w:left w:val="single" w:sz="8" w:space="0" w:color="000000"/>
              <w:bottom w:val="single" w:sz="8"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p>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 xml:space="preserve">          </w:t>
            </w:r>
            <w:r>
              <w:rPr>
                <w:rFonts w:ascii="Calibri" w:hAnsi="Calibri"/>
                <w:b/>
                <w:color w:val="000000"/>
                <w:sz w:val="24"/>
                <w:szCs w:val="24"/>
              </w:rPr>
              <w:t>CARGO OU FUNÇÃO</w:t>
            </w:r>
          </w:p>
          <w:p w:rsidR="001A583C" w:rsidRDefault="001A583C" w:rsidP="005845A1">
            <w:pPr>
              <w:spacing w:line="360" w:lineRule="auto"/>
              <w:jc w:val="both"/>
              <w:rPr>
                <w:rFonts w:ascii="Calibri" w:hAnsi="Calibri"/>
                <w:b/>
                <w:color w:val="000000"/>
                <w:sz w:val="24"/>
                <w:szCs w:val="24"/>
              </w:rPr>
            </w:pPr>
          </w:p>
        </w:tc>
        <w:tc>
          <w:tcPr>
            <w:tcW w:w="1920" w:type="dxa"/>
            <w:tcBorders>
              <w:bottom w:val="single" w:sz="8"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b/>
                <w:color w:val="000000"/>
                <w:sz w:val="24"/>
                <w:szCs w:val="24"/>
              </w:rPr>
              <w:t>QUANTIDADE</w:t>
            </w:r>
          </w:p>
        </w:tc>
        <w:tc>
          <w:tcPr>
            <w:tcW w:w="2460" w:type="dxa"/>
            <w:tcBorders>
              <w:bottom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proofErr w:type="gramStart"/>
            <w:r>
              <w:rPr>
                <w:rFonts w:ascii="Calibri" w:eastAsia="Calibri" w:hAnsi="Calibri" w:cs="Times New Roman"/>
                <w:b/>
                <w:color w:val="000000"/>
                <w:sz w:val="24"/>
                <w:szCs w:val="24"/>
              </w:rPr>
              <w:t>GRATIFICAÇÃO SERVIDOR EFETIVO</w:t>
            </w:r>
            <w:proofErr w:type="gramEnd"/>
          </w:p>
        </w:tc>
        <w:tc>
          <w:tcPr>
            <w:tcW w:w="2595" w:type="dxa"/>
            <w:tcBorders>
              <w:bottom w:val="single" w:sz="8"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b/>
                <w:color w:val="000000"/>
                <w:sz w:val="24"/>
                <w:szCs w:val="24"/>
              </w:rPr>
              <w:t>REMUNERAÇÃO</w:t>
            </w:r>
          </w:p>
        </w:tc>
      </w:tr>
      <w:tr w:rsidR="001A583C" w:rsidTr="005845A1">
        <w:trPr>
          <w:trHeight w:val="330"/>
        </w:trPr>
        <w:tc>
          <w:tcPr>
            <w:tcW w:w="3855" w:type="dxa"/>
            <w:gridSpan w:val="2"/>
            <w:tcBorders>
              <w:left w:val="single" w:sz="8" w:space="0" w:color="000000"/>
              <w:bottom w:val="single" w:sz="8"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ASSESSOR DE TESOURARIA</w:t>
            </w:r>
          </w:p>
        </w:tc>
        <w:tc>
          <w:tcPr>
            <w:tcW w:w="1920" w:type="dxa"/>
            <w:tcBorders>
              <w:bottom w:val="single" w:sz="8"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01</w:t>
            </w:r>
          </w:p>
        </w:tc>
        <w:tc>
          <w:tcPr>
            <w:tcW w:w="2460" w:type="dxa"/>
            <w:tcBorders>
              <w:bottom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R$: 500,00</w:t>
            </w:r>
          </w:p>
        </w:tc>
        <w:tc>
          <w:tcPr>
            <w:tcW w:w="2595" w:type="dxa"/>
            <w:tcBorders>
              <w:bottom w:val="single" w:sz="8"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R$: 2.500,00</w:t>
            </w:r>
          </w:p>
        </w:tc>
      </w:tr>
      <w:tr w:rsidR="001A583C" w:rsidTr="005845A1">
        <w:trPr>
          <w:trHeight w:val="315"/>
        </w:trPr>
        <w:tc>
          <w:tcPr>
            <w:tcW w:w="3855" w:type="dxa"/>
            <w:gridSpan w:val="2"/>
            <w:tcBorders>
              <w:left w:val="single" w:sz="8" w:space="0" w:color="000000"/>
              <w:bottom w:val="single" w:sz="4" w:space="0" w:color="000000"/>
              <w:right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p>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ASSESSOR PARLAMENTAR</w:t>
            </w:r>
          </w:p>
          <w:p w:rsidR="001A583C" w:rsidRDefault="001A583C" w:rsidP="005845A1">
            <w:pPr>
              <w:spacing w:line="360" w:lineRule="auto"/>
              <w:jc w:val="both"/>
              <w:rPr>
                <w:rFonts w:ascii="Calibri" w:hAnsi="Calibri"/>
                <w:color w:val="000000"/>
                <w:sz w:val="24"/>
                <w:szCs w:val="24"/>
              </w:rPr>
            </w:pPr>
          </w:p>
        </w:tc>
        <w:tc>
          <w:tcPr>
            <w:tcW w:w="1920" w:type="dxa"/>
            <w:tcBorders>
              <w:bottom w:val="single" w:sz="4" w:space="0" w:color="000000"/>
              <w:right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01</w:t>
            </w:r>
          </w:p>
        </w:tc>
        <w:tc>
          <w:tcPr>
            <w:tcW w:w="2460" w:type="dxa"/>
            <w:tcBorders>
              <w:bottom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R$: 1.000,00</w:t>
            </w:r>
          </w:p>
        </w:tc>
        <w:tc>
          <w:tcPr>
            <w:tcW w:w="2595" w:type="dxa"/>
            <w:tcBorders>
              <w:bottom w:val="single" w:sz="4"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R$ 5.382,33</w:t>
            </w:r>
          </w:p>
        </w:tc>
      </w:tr>
      <w:tr w:rsidR="001A583C" w:rsidTr="005845A1">
        <w:trPr>
          <w:trHeight w:val="315"/>
        </w:trPr>
        <w:tc>
          <w:tcPr>
            <w:tcW w:w="3855" w:type="dxa"/>
            <w:gridSpan w:val="2"/>
            <w:tcBorders>
              <w:left w:val="single" w:sz="8" w:space="0" w:color="000000"/>
              <w:bottom w:val="single" w:sz="4" w:space="0" w:color="000000"/>
              <w:right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p>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ASSESSOR JURÍDICO</w:t>
            </w:r>
          </w:p>
        </w:tc>
        <w:tc>
          <w:tcPr>
            <w:tcW w:w="1920" w:type="dxa"/>
            <w:tcBorders>
              <w:bottom w:val="single" w:sz="4" w:space="0" w:color="000000"/>
              <w:right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01</w:t>
            </w:r>
          </w:p>
        </w:tc>
        <w:tc>
          <w:tcPr>
            <w:tcW w:w="2460" w:type="dxa"/>
            <w:tcBorders>
              <w:bottom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R$: 1.000,00</w:t>
            </w:r>
          </w:p>
        </w:tc>
        <w:tc>
          <w:tcPr>
            <w:tcW w:w="2595" w:type="dxa"/>
            <w:tcBorders>
              <w:bottom w:val="single" w:sz="4"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R$ 5.131,91</w:t>
            </w:r>
          </w:p>
        </w:tc>
      </w:tr>
      <w:tr w:rsidR="001A583C" w:rsidTr="005845A1">
        <w:trPr>
          <w:trHeight w:val="315"/>
        </w:trPr>
        <w:tc>
          <w:tcPr>
            <w:tcW w:w="3855" w:type="dxa"/>
            <w:gridSpan w:val="2"/>
            <w:tcBorders>
              <w:left w:val="single" w:sz="8" w:space="0" w:color="000000"/>
              <w:bottom w:val="single" w:sz="4" w:space="0" w:color="000000"/>
              <w:right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p>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SECRETÁRIO DE ADMINISTRAÇÃO E FINANÇAS</w:t>
            </w:r>
          </w:p>
          <w:p w:rsidR="001A583C" w:rsidRDefault="001A583C" w:rsidP="005845A1">
            <w:pPr>
              <w:spacing w:line="360" w:lineRule="auto"/>
              <w:jc w:val="both"/>
              <w:rPr>
                <w:rFonts w:ascii="Calibri" w:hAnsi="Calibri"/>
                <w:color w:val="000000"/>
                <w:sz w:val="24"/>
                <w:szCs w:val="24"/>
              </w:rPr>
            </w:pPr>
          </w:p>
        </w:tc>
        <w:tc>
          <w:tcPr>
            <w:tcW w:w="1920" w:type="dxa"/>
            <w:tcBorders>
              <w:bottom w:val="single" w:sz="4" w:space="0" w:color="000000"/>
              <w:right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01</w:t>
            </w:r>
          </w:p>
        </w:tc>
        <w:tc>
          <w:tcPr>
            <w:tcW w:w="2460" w:type="dxa"/>
            <w:tcBorders>
              <w:bottom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R$: 1.000,00</w:t>
            </w:r>
          </w:p>
        </w:tc>
        <w:tc>
          <w:tcPr>
            <w:tcW w:w="2595" w:type="dxa"/>
            <w:tcBorders>
              <w:bottom w:val="single" w:sz="4"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R$ 6.761,31</w:t>
            </w:r>
          </w:p>
        </w:tc>
      </w:tr>
      <w:tr w:rsidR="001A583C" w:rsidTr="005845A1">
        <w:trPr>
          <w:trHeight w:val="315"/>
        </w:trPr>
        <w:tc>
          <w:tcPr>
            <w:tcW w:w="3855" w:type="dxa"/>
            <w:gridSpan w:val="2"/>
            <w:tcBorders>
              <w:left w:val="single" w:sz="8" w:space="0" w:color="000000"/>
              <w:bottom w:val="single" w:sz="4" w:space="0" w:color="000000"/>
              <w:right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OUVIDOR</w:t>
            </w:r>
          </w:p>
        </w:tc>
        <w:tc>
          <w:tcPr>
            <w:tcW w:w="1920" w:type="dxa"/>
            <w:tcBorders>
              <w:bottom w:val="single" w:sz="4" w:space="0" w:color="000000"/>
              <w:right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01</w:t>
            </w:r>
          </w:p>
        </w:tc>
        <w:tc>
          <w:tcPr>
            <w:tcW w:w="2460" w:type="dxa"/>
            <w:tcBorders>
              <w:bottom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R$ 500,00</w:t>
            </w:r>
          </w:p>
        </w:tc>
        <w:tc>
          <w:tcPr>
            <w:tcW w:w="2595" w:type="dxa"/>
            <w:tcBorders>
              <w:bottom w:val="single" w:sz="4"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R$: 2.500,00</w:t>
            </w:r>
          </w:p>
        </w:tc>
      </w:tr>
    </w:tbl>
    <w:p w:rsidR="001A583C" w:rsidRDefault="001A583C" w:rsidP="001A583C">
      <w:pPr>
        <w:spacing w:line="360" w:lineRule="auto"/>
        <w:jc w:val="both"/>
        <w:rPr>
          <w:rFonts w:ascii="Calibri" w:hAnsi="Calibri"/>
          <w:color w:val="000000"/>
          <w:sz w:val="24"/>
          <w:szCs w:val="24"/>
          <w:u w:val="single"/>
        </w:rPr>
      </w:pPr>
    </w:p>
    <w:p w:rsidR="001A583C" w:rsidRDefault="001A583C" w:rsidP="001A583C">
      <w:pPr>
        <w:spacing w:line="360" w:lineRule="auto"/>
        <w:jc w:val="center"/>
        <w:rPr>
          <w:rFonts w:ascii="Calibri" w:hAnsi="Calibri"/>
          <w:color w:val="000000"/>
          <w:sz w:val="24"/>
          <w:szCs w:val="24"/>
        </w:rPr>
      </w:pPr>
      <w:r>
        <w:rPr>
          <w:rFonts w:ascii="Calibri" w:hAnsi="Calibri"/>
          <w:b/>
          <w:color w:val="000000"/>
          <w:sz w:val="24"/>
          <w:szCs w:val="24"/>
          <w:u w:val="single"/>
        </w:rPr>
        <w:t>ANEXO III</w:t>
      </w:r>
    </w:p>
    <w:p w:rsidR="001A583C" w:rsidRDefault="001A583C" w:rsidP="001A583C">
      <w:pPr>
        <w:spacing w:line="360" w:lineRule="auto"/>
        <w:jc w:val="center"/>
        <w:rPr>
          <w:rFonts w:ascii="Calibri" w:hAnsi="Calibri"/>
          <w:color w:val="000000"/>
          <w:sz w:val="24"/>
          <w:szCs w:val="24"/>
        </w:rPr>
      </w:pPr>
      <w:r>
        <w:rPr>
          <w:rFonts w:ascii="Calibri" w:hAnsi="Calibri"/>
          <w:bCs/>
          <w:color w:val="000000"/>
          <w:sz w:val="24"/>
          <w:szCs w:val="24"/>
        </w:rPr>
        <w:t>CATEGORIA OCUPACIONAL: FUNÇÃO DE CONFIANÇA</w:t>
      </w:r>
    </w:p>
    <w:tbl>
      <w:tblPr>
        <w:tblW w:w="10950" w:type="dxa"/>
        <w:tblInd w:w="-1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60" w:type="dxa"/>
          <w:right w:w="70" w:type="dxa"/>
        </w:tblCellMar>
        <w:tblLook w:val="04A0" w:firstRow="1" w:lastRow="0" w:firstColumn="1" w:lastColumn="0" w:noHBand="0" w:noVBand="1"/>
      </w:tblPr>
      <w:tblGrid>
        <w:gridCol w:w="5925"/>
        <w:gridCol w:w="2085"/>
        <w:gridCol w:w="2940"/>
      </w:tblGrid>
      <w:tr w:rsidR="001A583C" w:rsidTr="005845A1">
        <w:trPr>
          <w:trHeight w:val="330"/>
        </w:trPr>
        <w:tc>
          <w:tcPr>
            <w:tcW w:w="10950"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1A583C" w:rsidRDefault="001A583C" w:rsidP="005845A1">
            <w:pPr>
              <w:spacing w:line="360" w:lineRule="auto"/>
              <w:jc w:val="both"/>
              <w:rPr>
                <w:rFonts w:ascii="Calibri" w:hAnsi="Calibri"/>
                <w:b/>
                <w:bCs/>
                <w:color w:val="000000"/>
                <w:sz w:val="24"/>
                <w:szCs w:val="24"/>
              </w:rPr>
            </w:pPr>
          </w:p>
          <w:p w:rsidR="001A583C" w:rsidRDefault="001A583C" w:rsidP="005845A1">
            <w:pPr>
              <w:spacing w:line="360" w:lineRule="auto"/>
              <w:jc w:val="both"/>
              <w:rPr>
                <w:rFonts w:ascii="Calibri" w:hAnsi="Calibri"/>
                <w:color w:val="000000"/>
                <w:sz w:val="24"/>
                <w:szCs w:val="24"/>
              </w:rPr>
            </w:pPr>
            <w:r>
              <w:rPr>
                <w:rFonts w:ascii="Calibri" w:hAnsi="Calibri"/>
                <w:b/>
                <w:bCs/>
                <w:color w:val="000000"/>
                <w:sz w:val="24"/>
                <w:szCs w:val="24"/>
              </w:rPr>
              <w:t>CATEGORIA OCUPACIONAL: FUNÇÃO DE CONFIANÇA</w:t>
            </w:r>
          </w:p>
          <w:p w:rsidR="001A583C" w:rsidRDefault="001A583C" w:rsidP="005845A1">
            <w:pPr>
              <w:spacing w:line="360" w:lineRule="auto"/>
              <w:jc w:val="both"/>
              <w:rPr>
                <w:rFonts w:ascii="Calibri" w:hAnsi="Calibri"/>
                <w:b/>
                <w:bCs/>
                <w:color w:val="000000"/>
                <w:sz w:val="24"/>
                <w:szCs w:val="24"/>
              </w:rPr>
            </w:pPr>
          </w:p>
        </w:tc>
      </w:tr>
      <w:tr w:rsidR="001A583C" w:rsidTr="005845A1">
        <w:trPr>
          <w:trHeight w:val="330"/>
        </w:trPr>
        <w:tc>
          <w:tcPr>
            <w:tcW w:w="5925" w:type="dxa"/>
            <w:tcBorders>
              <w:left w:val="single" w:sz="8" w:space="0" w:color="000000"/>
              <w:bottom w:val="single" w:sz="4"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b/>
                <w:color w:val="000000"/>
                <w:sz w:val="24"/>
                <w:szCs w:val="24"/>
              </w:rPr>
            </w:pPr>
          </w:p>
          <w:p w:rsidR="001A583C" w:rsidRDefault="001A583C" w:rsidP="005845A1">
            <w:pPr>
              <w:spacing w:line="360" w:lineRule="auto"/>
              <w:jc w:val="both"/>
              <w:rPr>
                <w:rFonts w:ascii="Calibri" w:hAnsi="Calibri"/>
                <w:color w:val="000000"/>
                <w:sz w:val="24"/>
                <w:szCs w:val="24"/>
              </w:rPr>
            </w:pPr>
            <w:r>
              <w:rPr>
                <w:rFonts w:ascii="Calibri" w:hAnsi="Calibri"/>
                <w:b/>
                <w:color w:val="000000"/>
                <w:sz w:val="24"/>
                <w:szCs w:val="24"/>
              </w:rPr>
              <w:t xml:space="preserve">              CARGO OU FUNÇÃO</w:t>
            </w:r>
          </w:p>
          <w:p w:rsidR="001A583C" w:rsidRDefault="001A583C" w:rsidP="005845A1">
            <w:pPr>
              <w:spacing w:line="360" w:lineRule="auto"/>
              <w:jc w:val="both"/>
              <w:rPr>
                <w:rFonts w:ascii="Calibri" w:hAnsi="Calibri"/>
                <w:b/>
                <w:color w:val="000000"/>
                <w:sz w:val="24"/>
                <w:szCs w:val="24"/>
              </w:rPr>
            </w:pPr>
          </w:p>
        </w:tc>
        <w:tc>
          <w:tcPr>
            <w:tcW w:w="2085" w:type="dxa"/>
            <w:tcBorders>
              <w:bottom w:val="single" w:sz="4"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b/>
                <w:color w:val="000000"/>
                <w:sz w:val="24"/>
                <w:szCs w:val="24"/>
              </w:rPr>
              <w:t>QUANTIDADE</w:t>
            </w:r>
          </w:p>
        </w:tc>
        <w:tc>
          <w:tcPr>
            <w:tcW w:w="2940" w:type="dxa"/>
            <w:tcBorders>
              <w:bottom w:val="single" w:sz="4"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b/>
                <w:color w:val="000000"/>
                <w:sz w:val="24"/>
                <w:szCs w:val="24"/>
              </w:rPr>
              <w:t>GRATIFICAÇÃO</w:t>
            </w:r>
          </w:p>
        </w:tc>
      </w:tr>
      <w:tr w:rsidR="001A583C" w:rsidTr="005845A1">
        <w:trPr>
          <w:trHeight w:val="330"/>
        </w:trPr>
        <w:tc>
          <w:tcPr>
            <w:tcW w:w="5925" w:type="dxa"/>
            <w:tcBorders>
              <w:left w:val="single" w:sz="8" w:space="0" w:color="000000"/>
              <w:bottom w:val="single" w:sz="8" w:space="0" w:color="000000"/>
              <w:right w:val="single" w:sz="4" w:space="0" w:color="000000"/>
            </w:tcBorders>
            <w:shd w:val="clear" w:color="auto" w:fill="auto"/>
            <w:vAlign w:val="bottom"/>
          </w:tcPr>
          <w:p w:rsidR="001A583C" w:rsidRDefault="001A583C" w:rsidP="005845A1">
            <w:pPr>
              <w:spacing w:line="360" w:lineRule="auto"/>
              <w:jc w:val="both"/>
              <w:rPr>
                <w:rFonts w:ascii="Calibri" w:hAnsi="Calibri"/>
                <w:color w:val="000000"/>
                <w:sz w:val="24"/>
                <w:szCs w:val="24"/>
              </w:rPr>
            </w:pPr>
          </w:p>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PRESIDENTE DA COMISSÃO DE LICITAÇÃO</w:t>
            </w:r>
          </w:p>
          <w:p w:rsidR="001A583C" w:rsidRDefault="001A583C" w:rsidP="005845A1">
            <w:pPr>
              <w:spacing w:line="360" w:lineRule="auto"/>
              <w:jc w:val="both"/>
              <w:rPr>
                <w:rFonts w:ascii="Calibri" w:hAnsi="Calibri"/>
                <w:color w:val="000000"/>
                <w:sz w:val="24"/>
                <w:szCs w:val="24"/>
              </w:rPr>
            </w:pPr>
          </w:p>
        </w:tc>
        <w:tc>
          <w:tcPr>
            <w:tcW w:w="2085" w:type="dxa"/>
            <w:tcBorders>
              <w:bottom w:val="single" w:sz="8" w:space="0" w:color="000000"/>
              <w:right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01</w:t>
            </w:r>
          </w:p>
        </w:tc>
        <w:tc>
          <w:tcPr>
            <w:tcW w:w="2940" w:type="dxa"/>
            <w:tcBorders>
              <w:bottom w:val="single" w:sz="8"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R$ 100,00 por cada processo licitatório realizado</w:t>
            </w:r>
          </w:p>
        </w:tc>
      </w:tr>
      <w:tr w:rsidR="001A583C" w:rsidTr="005845A1">
        <w:trPr>
          <w:trHeight w:val="330"/>
        </w:trPr>
        <w:tc>
          <w:tcPr>
            <w:tcW w:w="5925" w:type="dxa"/>
            <w:tcBorders>
              <w:left w:val="single" w:sz="8" w:space="0" w:color="000000"/>
              <w:bottom w:val="single" w:sz="8" w:space="0" w:color="000000"/>
              <w:right w:val="single" w:sz="4" w:space="0" w:color="000000"/>
            </w:tcBorders>
            <w:shd w:val="clear" w:color="auto" w:fill="auto"/>
            <w:vAlign w:val="bottom"/>
          </w:tcPr>
          <w:p w:rsidR="001A583C" w:rsidRDefault="001A583C" w:rsidP="005845A1">
            <w:pPr>
              <w:spacing w:line="360" w:lineRule="auto"/>
              <w:jc w:val="both"/>
              <w:rPr>
                <w:rFonts w:ascii="Calibri" w:hAnsi="Calibri"/>
                <w:color w:val="000000"/>
                <w:sz w:val="24"/>
                <w:szCs w:val="24"/>
              </w:rPr>
            </w:pPr>
          </w:p>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MEMBROS DA COMISSÃO DE LICITAÇÃO</w:t>
            </w:r>
          </w:p>
          <w:p w:rsidR="001A583C" w:rsidRDefault="001A583C" w:rsidP="005845A1">
            <w:pPr>
              <w:spacing w:line="360" w:lineRule="auto"/>
              <w:jc w:val="both"/>
              <w:rPr>
                <w:rFonts w:ascii="Calibri" w:hAnsi="Calibri"/>
                <w:color w:val="000000"/>
                <w:sz w:val="24"/>
                <w:szCs w:val="24"/>
              </w:rPr>
            </w:pPr>
          </w:p>
        </w:tc>
        <w:tc>
          <w:tcPr>
            <w:tcW w:w="2085" w:type="dxa"/>
            <w:tcBorders>
              <w:bottom w:val="single" w:sz="8" w:space="0" w:color="000000"/>
              <w:right w:val="single" w:sz="4"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02</w:t>
            </w:r>
          </w:p>
        </w:tc>
        <w:tc>
          <w:tcPr>
            <w:tcW w:w="2940" w:type="dxa"/>
            <w:tcBorders>
              <w:bottom w:val="single" w:sz="8" w:space="0" w:color="000000"/>
              <w:right w:val="single" w:sz="8" w:space="0" w:color="000000"/>
            </w:tcBorders>
            <w:shd w:val="clear" w:color="auto" w:fill="auto"/>
            <w:vAlign w:val="center"/>
          </w:tcPr>
          <w:p w:rsidR="001A583C" w:rsidRDefault="001A583C" w:rsidP="005845A1">
            <w:pPr>
              <w:spacing w:line="360" w:lineRule="auto"/>
              <w:jc w:val="both"/>
              <w:rPr>
                <w:rFonts w:ascii="Calibri" w:hAnsi="Calibri"/>
                <w:color w:val="000000"/>
                <w:sz w:val="24"/>
                <w:szCs w:val="24"/>
              </w:rPr>
            </w:pPr>
            <w:r>
              <w:rPr>
                <w:rFonts w:ascii="Calibri" w:hAnsi="Calibri"/>
                <w:color w:val="000000"/>
                <w:sz w:val="24"/>
                <w:szCs w:val="24"/>
              </w:rPr>
              <w:t>R$ 50,00 por cada processo licitatório realizado</w:t>
            </w:r>
          </w:p>
        </w:tc>
      </w:tr>
    </w:tbl>
    <w:p w:rsidR="001A583C" w:rsidRDefault="001A583C" w:rsidP="001A583C">
      <w:pPr>
        <w:tabs>
          <w:tab w:val="left" w:pos="284"/>
          <w:tab w:val="left" w:pos="851"/>
        </w:tabs>
        <w:spacing w:after="0" w:line="360" w:lineRule="auto"/>
        <w:ind w:firstLine="851"/>
        <w:jc w:val="both"/>
        <w:rPr>
          <w:rFonts w:ascii="Calibri" w:eastAsia="Times New Roman" w:hAnsi="Calibri" w:cs="Times New Roman"/>
          <w:color w:val="000000"/>
          <w:sz w:val="24"/>
          <w:szCs w:val="24"/>
          <w:lang w:eastAsia="pt-BR"/>
        </w:rPr>
      </w:pPr>
    </w:p>
    <w:p w:rsidR="001A583C" w:rsidRDefault="001A583C" w:rsidP="001A583C">
      <w:pPr>
        <w:tabs>
          <w:tab w:val="left" w:pos="284"/>
        </w:tabs>
        <w:spacing w:line="360" w:lineRule="auto"/>
        <w:ind w:firstLine="851"/>
        <w:jc w:val="both"/>
        <w:rPr>
          <w:rFonts w:ascii="Calibri" w:hAnsi="Calibri"/>
          <w:color w:val="000000"/>
          <w:sz w:val="24"/>
          <w:szCs w:val="24"/>
        </w:rPr>
      </w:pPr>
      <w:r>
        <w:rPr>
          <w:rFonts w:ascii="Calibri" w:hAnsi="Calibri" w:cs="Times New Roman"/>
          <w:b/>
          <w:bCs/>
          <w:color w:val="000000"/>
          <w:sz w:val="24"/>
          <w:szCs w:val="24"/>
        </w:rPr>
        <w:t xml:space="preserve">§1º – </w:t>
      </w:r>
      <w:r>
        <w:rPr>
          <w:rFonts w:ascii="Calibri" w:hAnsi="Calibri" w:cs="Times New Roman"/>
          <w:color w:val="000000"/>
          <w:sz w:val="24"/>
          <w:szCs w:val="24"/>
        </w:rPr>
        <w:t>O servidor efetivo nomeado para função de confiança pode optar pelo valor integral do cargo, hipótese em que não pode perceber o subsídio ou a remuneração do cargo efetivo ou optar pelo acréscimo à sua remuneração do valor da função gratificada disposta no quadro desta lei.</w:t>
      </w:r>
    </w:p>
    <w:p w:rsidR="001A583C" w:rsidRDefault="001A583C" w:rsidP="001A583C">
      <w:pPr>
        <w:tabs>
          <w:tab w:val="left" w:pos="284"/>
        </w:tabs>
        <w:spacing w:line="360" w:lineRule="auto"/>
        <w:ind w:firstLine="851"/>
        <w:jc w:val="both"/>
        <w:rPr>
          <w:rFonts w:ascii="Calibri" w:hAnsi="Calibri"/>
          <w:color w:val="000000"/>
          <w:sz w:val="24"/>
          <w:szCs w:val="24"/>
        </w:rPr>
      </w:pPr>
      <w:r>
        <w:rPr>
          <w:rFonts w:ascii="Calibri" w:hAnsi="Calibri" w:cs="Times New Roman"/>
          <w:b/>
          <w:bCs/>
          <w:color w:val="000000"/>
          <w:sz w:val="24"/>
          <w:szCs w:val="24"/>
        </w:rPr>
        <w:t xml:space="preserve">§2º – </w:t>
      </w:r>
      <w:r>
        <w:rPr>
          <w:rFonts w:ascii="Calibri" w:hAnsi="Calibri" w:cs="Times New Roman"/>
          <w:color w:val="000000"/>
          <w:sz w:val="24"/>
          <w:szCs w:val="24"/>
        </w:rPr>
        <w:t>O servidor público efetivo que for nomeado em quaisquer dos cargos comissionados dispostos no quadro acima, cumulará as funções de seu cargo as do cargo em comissão ao qual for nomeado, sendo remunerado na forma do parágrafo anterior.</w:t>
      </w:r>
    </w:p>
    <w:p w:rsidR="001A583C" w:rsidRDefault="001A583C" w:rsidP="001A583C">
      <w:pPr>
        <w:tabs>
          <w:tab w:val="left" w:pos="284"/>
        </w:tabs>
        <w:spacing w:line="360" w:lineRule="auto"/>
        <w:ind w:firstLine="851"/>
        <w:jc w:val="both"/>
        <w:rPr>
          <w:rFonts w:ascii="Calibri" w:hAnsi="Calibri"/>
          <w:color w:val="000000"/>
          <w:sz w:val="24"/>
          <w:szCs w:val="24"/>
        </w:rPr>
      </w:pPr>
      <w:r>
        <w:rPr>
          <w:rFonts w:ascii="Calibri" w:hAnsi="Calibri" w:cs="Times New Roman"/>
          <w:b/>
          <w:bCs/>
          <w:color w:val="000000"/>
          <w:sz w:val="24"/>
          <w:szCs w:val="24"/>
        </w:rPr>
        <w:lastRenderedPageBreak/>
        <w:t xml:space="preserve">Art. 4º – </w:t>
      </w:r>
      <w:r>
        <w:rPr>
          <w:rFonts w:ascii="Calibri" w:hAnsi="Calibri" w:cs="Times New Roman"/>
          <w:color w:val="000000"/>
          <w:sz w:val="24"/>
          <w:szCs w:val="24"/>
        </w:rPr>
        <w:t>As despesas por conta desta Lei correrão por conta do orçamento da Câmara Municipal de Nova Xavantina.</w:t>
      </w:r>
    </w:p>
    <w:p w:rsidR="001A583C" w:rsidRDefault="001A583C" w:rsidP="001A583C">
      <w:pPr>
        <w:spacing w:after="0" w:line="360" w:lineRule="auto"/>
        <w:ind w:firstLine="708"/>
        <w:jc w:val="both"/>
        <w:rPr>
          <w:rFonts w:ascii="Calibri" w:hAnsi="Calibri"/>
          <w:color w:val="000000"/>
          <w:sz w:val="24"/>
          <w:szCs w:val="24"/>
        </w:rPr>
      </w:pPr>
      <w:r>
        <w:rPr>
          <w:rFonts w:ascii="Calibri" w:eastAsia="Times New Roman" w:hAnsi="Calibri" w:cs="Times New Roman"/>
          <w:b/>
          <w:color w:val="000000"/>
          <w:sz w:val="24"/>
          <w:szCs w:val="24"/>
          <w:lang w:eastAsia="pt-BR"/>
        </w:rPr>
        <w:t xml:space="preserve">Art. 5º – </w:t>
      </w:r>
      <w:r>
        <w:rPr>
          <w:rFonts w:ascii="Calibri" w:eastAsia="Times New Roman" w:hAnsi="Calibri" w:cs="Times New Roman"/>
          <w:color w:val="000000"/>
          <w:sz w:val="24"/>
          <w:szCs w:val="24"/>
          <w:lang w:eastAsia="pt-BR"/>
        </w:rPr>
        <w:t xml:space="preserve">Continuam em vigor os demais dispositivos constantes nas Leis Municipais n°. 1.776/2014 e suas alterações. </w:t>
      </w:r>
    </w:p>
    <w:p w:rsidR="001A583C" w:rsidRDefault="001A583C" w:rsidP="001A583C">
      <w:pPr>
        <w:spacing w:after="0" w:line="360" w:lineRule="auto"/>
        <w:jc w:val="both"/>
        <w:rPr>
          <w:rFonts w:ascii="Calibri" w:eastAsia="Times New Roman" w:hAnsi="Calibri" w:cs="Times New Roman"/>
          <w:color w:val="000000"/>
          <w:sz w:val="24"/>
          <w:szCs w:val="24"/>
          <w:lang w:eastAsia="pt-BR"/>
        </w:rPr>
      </w:pPr>
    </w:p>
    <w:p w:rsidR="001A583C" w:rsidRDefault="001A583C" w:rsidP="001A583C">
      <w:pPr>
        <w:spacing w:after="0" w:line="360" w:lineRule="auto"/>
        <w:ind w:firstLine="708"/>
        <w:jc w:val="both"/>
        <w:rPr>
          <w:rFonts w:ascii="Calibri" w:hAnsi="Calibri"/>
          <w:color w:val="000000"/>
          <w:sz w:val="24"/>
          <w:szCs w:val="24"/>
        </w:rPr>
      </w:pPr>
      <w:r>
        <w:rPr>
          <w:rFonts w:ascii="Calibri" w:eastAsia="Times New Roman" w:hAnsi="Calibri" w:cs="Times New Roman"/>
          <w:b/>
          <w:color w:val="000000"/>
          <w:sz w:val="24"/>
          <w:szCs w:val="24"/>
          <w:lang w:eastAsia="pt-BR"/>
        </w:rPr>
        <w:t xml:space="preserve">Art. 6º – </w:t>
      </w:r>
      <w:r>
        <w:rPr>
          <w:rFonts w:ascii="Calibri" w:eastAsia="Times New Roman" w:hAnsi="Calibri" w:cs="Times New Roman"/>
          <w:color w:val="000000"/>
          <w:sz w:val="24"/>
          <w:szCs w:val="24"/>
          <w:lang w:eastAsia="pt-BR"/>
        </w:rPr>
        <w:t>Esta Lei entra em vigor na data de sua publicação.</w:t>
      </w:r>
    </w:p>
    <w:p w:rsidR="001A583C" w:rsidRDefault="001A583C" w:rsidP="001A583C">
      <w:pPr>
        <w:spacing w:after="0" w:line="360" w:lineRule="auto"/>
        <w:jc w:val="both"/>
        <w:rPr>
          <w:rFonts w:ascii="Calibri" w:eastAsia="Times New Roman" w:hAnsi="Calibri" w:cs="Times New Roman"/>
          <w:color w:val="000000"/>
          <w:sz w:val="24"/>
          <w:szCs w:val="24"/>
          <w:lang w:eastAsia="pt-BR"/>
        </w:rPr>
      </w:pPr>
    </w:p>
    <w:p w:rsidR="001A583C" w:rsidRDefault="001A583C" w:rsidP="001A583C">
      <w:pPr>
        <w:spacing w:after="0" w:line="360" w:lineRule="auto"/>
        <w:ind w:firstLine="708"/>
        <w:jc w:val="both"/>
        <w:rPr>
          <w:rFonts w:ascii="Calibri" w:hAnsi="Calibri"/>
          <w:color w:val="000000"/>
          <w:sz w:val="24"/>
          <w:szCs w:val="24"/>
        </w:rPr>
      </w:pPr>
      <w:r>
        <w:rPr>
          <w:rFonts w:ascii="Calibri" w:eastAsia="Times New Roman" w:hAnsi="Calibri" w:cs="Times New Roman"/>
          <w:b/>
          <w:color w:val="000000"/>
          <w:sz w:val="24"/>
          <w:szCs w:val="24"/>
          <w:lang w:eastAsia="pt-BR"/>
        </w:rPr>
        <w:t xml:space="preserve">Art. 7º – </w:t>
      </w:r>
      <w:r>
        <w:rPr>
          <w:rFonts w:ascii="Calibri" w:eastAsia="Times New Roman" w:hAnsi="Calibri" w:cs="Times New Roman"/>
          <w:color w:val="000000"/>
          <w:sz w:val="24"/>
          <w:szCs w:val="24"/>
          <w:lang w:eastAsia="pt-BR"/>
        </w:rPr>
        <w:t xml:space="preserve">Revogam-se todas as disposições em contrário. </w:t>
      </w:r>
    </w:p>
    <w:p w:rsidR="001A583C" w:rsidRDefault="001A583C" w:rsidP="001A583C">
      <w:pPr>
        <w:spacing w:after="0" w:line="360" w:lineRule="auto"/>
        <w:ind w:firstLine="708"/>
        <w:jc w:val="both"/>
        <w:rPr>
          <w:rFonts w:ascii="Calibri" w:eastAsia="Times New Roman" w:hAnsi="Calibri" w:cs="Times New Roman"/>
          <w:color w:val="000000"/>
          <w:sz w:val="24"/>
          <w:szCs w:val="24"/>
          <w:lang w:eastAsia="pt-BR"/>
        </w:rPr>
      </w:pPr>
    </w:p>
    <w:p w:rsidR="001A583C" w:rsidRDefault="001A583C" w:rsidP="001A583C">
      <w:pPr>
        <w:spacing w:after="0" w:line="360" w:lineRule="auto"/>
        <w:jc w:val="both"/>
        <w:rPr>
          <w:rFonts w:ascii="Calibri" w:eastAsia="Times New Roman" w:hAnsi="Calibri" w:cs="Times New Roman"/>
          <w:color w:val="000000"/>
          <w:sz w:val="24"/>
          <w:szCs w:val="24"/>
          <w:lang w:eastAsia="pt-BR"/>
        </w:rPr>
      </w:pPr>
    </w:p>
    <w:p w:rsidR="001A583C" w:rsidRDefault="001A583C" w:rsidP="001A583C">
      <w:pPr>
        <w:spacing w:after="0" w:line="360" w:lineRule="auto"/>
        <w:jc w:val="center"/>
        <w:rPr>
          <w:rFonts w:ascii="Times New Roman" w:eastAsia="Times New Roman" w:hAnsi="Times New Roman" w:cs="Times New Roman"/>
          <w:b/>
          <w:sz w:val="24"/>
          <w:szCs w:val="24"/>
          <w:lang w:eastAsia="pt-BR"/>
        </w:rPr>
      </w:pPr>
      <w:r>
        <w:rPr>
          <w:rFonts w:ascii="Calibri" w:eastAsia="Times New Roman" w:hAnsi="Calibri" w:cs="Times New Roman"/>
          <w:b/>
          <w:color w:val="000000"/>
          <w:sz w:val="24"/>
          <w:szCs w:val="24"/>
          <w:lang w:eastAsia="pt-BR"/>
        </w:rPr>
        <w:t>Palácio Adiel Antônio Ribeiro</w:t>
      </w:r>
    </w:p>
    <w:p w:rsidR="001A583C" w:rsidRDefault="001A583C" w:rsidP="001A583C">
      <w:pPr>
        <w:spacing w:after="0" w:line="360" w:lineRule="auto"/>
        <w:jc w:val="center"/>
        <w:rPr>
          <w:rFonts w:ascii="Times New Roman" w:eastAsia="Times New Roman" w:hAnsi="Times New Roman" w:cs="Times New Roman"/>
          <w:b/>
          <w:sz w:val="24"/>
          <w:szCs w:val="24"/>
          <w:lang w:eastAsia="pt-BR"/>
        </w:rPr>
      </w:pPr>
      <w:r>
        <w:rPr>
          <w:rFonts w:ascii="Calibri" w:eastAsia="Times New Roman" w:hAnsi="Calibri" w:cs="Times New Roman"/>
          <w:b/>
          <w:color w:val="000000"/>
          <w:sz w:val="24"/>
          <w:szCs w:val="24"/>
          <w:lang w:eastAsia="pt-BR"/>
        </w:rPr>
        <w:t>Gabinete do Presidente da Câmara Municipal</w:t>
      </w:r>
    </w:p>
    <w:p w:rsidR="001A583C" w:rsidRDefault="001A583C" w:rsidP="001A583C">
      <w:pPr>
        <w:spacing w:after="0" w:line="360" w:lineRule="auto"/>
        <w:jc w:val="center"/>
        <w:rPr>
          <w:rFonts w:ascii="Times New Roman" w:eastAsia="Times New Roman" w:hAnsi="Times New Roman" w:cs="Times New Roman"/>
          <w:b/>
          <w:sz w:val="24"/>
          <w:szCs w:val="24"/>
          <w:lang w:eastAsia="pt-BR"/>
        </w:rPr>
      </w:pPr>
      <w:r>
        <w:rPr>
          <w:rFonts w:ascii="Calibri" w:eastAsia="Times New Roman" w:hAnsi="Calibri" w:cs="Times New Roman"/>
          <w:b/>
          <w:color w:val="000000"/>
          <w:sz w:val="24"/>
          <w:szCs w:val="24"/>
          <w:lang w:eastAsia="pt-BR"/>
        </w:rPr>
        <w:t>Nova Xavantina-MT, 13 de Março de 2020.</w:t>
      </w:r>
    </w:p>
    <w:p w:rsidR="001A583C" w:rsidRDefault="001A583C" w:rsidP="001A583C">
      <w:pPr>
        <w:spacing w:after="0" w:line="360" w:lineRule="auto"/>
        <w:jc w:val="center"/>
        <w:rPr>
          <w:rFonts w:ascii="Calibri" w:eastAsia="Times New Roman" w:hAnsi="Calibri" w:cs="Times New Roman"/>
          <w:b/>
          <w:color w:val="000000"/>
          <w:sz w:val="24"/>
          <w:szCs w:val="24"/>
          <w:lang w:eastAsia="pt-BR"/>
        </w:rPr>
      </w:pPr>
    </w:p>
    <w:p w:rsidR="001A583C" w:rsidRDefault="001A583C" w:rsidP="001A583C">
      <w:pPr>
        <w:spacing w:after="0" w:line="360" w:lineRule="auto"/>
        <w:jc w:val="center"/>
        <w:rPr>
          <w:rFonts w:ascii="Calibri" w:eastAsia="Times New Roman" w:hAnsi="Calibri" w:cs="Times New Roman"/>
          <w:b/>
          <w:color w:val="000000"/>
          <w:sz w:val="24"/>
          <w:szCs w:val="24"/>
          <w:lang w:eastAsia="pt-BR"/>
        </w:rPr>
      </w:pPr>
    </w:p>
    <w:p w:rsidR="001A583C" w:rsidRDefault="001A583C" w:rsidP="001A583C">
      <w:pPr>
        <w:spacing w:after="0" w:line="360" w:lineRule="auto"/>
        <w:jc w:val="center"/>
        <w:rPr>
          <w:rFonts w:ascii="Times New Roman" w:eastAsia="Times New Roman" w:hAnsi="Times New Roman" w:cs="Times New Roman"/>
          <w:b/>
          <w:sz w:val="24"/>
          <w:szCs w:val="24"/>
          <w:lang w:eastAsia="pt-BR"/>
        </w:rPr>
      </w:pPr>
      <w:r>
        <w:rPr>
          <w:rFonts w:ascii="Calibri" w:eastAsia="Times New Roman" w:hAnsi="Calibri" w:cs="Times New Roman"/>
          <w:b/>
          <w:color w:val="000000"/>
          <w:sz w:val="24"/>
          <w:szCs w:val="24"/>
          <w:lang w:eastAsia="pt-BR"/>
        </w:rPr>
        <w:t>Paulo Cesar Trindade</w:t>
      </w:r>
    </w:p>
    <w:p w:rsidR="001A583C" w:rsidRDefault="001A583C" w:rsidP="001A583C">
      <w:pPr>
        <w:spacing w:after="0" w:line="360" w:lineRule="auto"/>
        <w:jc w:val="center"/>
        <w:rPr>
          <w:rFonts w:ascii="Calibri" w:hAnsi="Calibri"/>
          <w:color w:val="000000"/>
          <w:sz w:val="24"/>
          <w:szCs w:val="24"/>
        </w:rPr>
      </w:pPr>
      <w:r>
        <w:rPr>
          <w:rFonts w:ascii="Calibri" w:eastAsia="Times New Roman" w:hAnsi="Calibri" w:cs="Times New Roman"/>
          <w:b/>
          <w:color w:val="000000"/>
          <w:sz w:val="24"/>
          <w:szCs w:val="24"/>
          <w:lang w:eastAsia="pt-BR"/>
        </w:rPr>
        <w:t>Presidente</w:t>
      </w:r>
    </w:p>
    <w:p w:rsidR="001C3D70" w:rsidRDefault="001C3D70">
      <w:bookmarkStart w:id="0" w:name="_GoBack"/>
      <w:bookmarkEnd w:id="0"/>
    </w:p>
    <w:sectPr w:rsidR="001C3D70">
      <w:pgSz w:w="11906" w:h="16838"/>
      <w:pgMar w:top="3402"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3C"/>
    <w:rsid w:val="001A583C"/>
    <w:rsid w:val="001C3D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83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83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648</Words>
  <Characters>3505</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2020-03-13T18:54:00Z</dcterms:created>
  <dcterms:modified xsi:type="dcterms:W3CDTF">2020-03-13T18:54:00Z</dcterms:modified>
</cp:coreProperties>
</file>