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70" w:rsidRPr="00284870" w:rsidRDefault="00284870" w:rsidP="0028487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</w:pPr>
      <w:r w:rsidRPr="00284870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  <w:t xml:space="preserve">LEI MUNICIPAL </w:t>
      </w:r>
      <w:proofErr w:type="gramStart"/>
      <w:r w:rsidRPr="00284870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  <w:t>N.º</w:t>
      </w:r>
      <w:proofErr w:type="gramEnd"/>
      <w:r w:rsidRPr="00284870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ar-SA"/>
        </w:rPr>
        <w:t xml:space="preserve"> 2.321, DE 10 DE NOVEMBRO DE 2021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</w:pPr>
      <w:r w:rsidRPr="00284870"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  <w:t>Delimita áreas de atuações das Associações Comunitárias de Moradores de Bairros, e dá outras providências.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i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O </w:t>
      </w: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Prefeito do Município de Nova Xavantina,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Estado de Mato Grosso, faz saber que a Câmara Municipal aprovou e ele sanciona a seguinte Lei:</w:t>
      </w: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Art. 1º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Delimita áreas de atuações das Associações Comunitárias de Moradores de Bairros, conforme discriminado abaixo: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I – </w:t>
      </w: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Setor Xavantina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: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a)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Central;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Xavantina Velha;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Boa Vista;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b)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Jardim Alvorada;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Deus é Amor;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Meu Lar;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c)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Olaria;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Centro-Oeste;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Barro Vermelho;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4. Industrial;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II – </w:t>
      </w: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Setor Nova Brasília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: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a)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Centro Comercial;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Santa Mônica;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b)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União;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Verdes Campos;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Estilac Leal;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lastRenderedPageBreak/>
        <w:t>c)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Novo Horizonte;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Parque dos Buritis I e II;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Jardim Oliveira;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4. Flor de Liz;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5. Morada do Sol;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6. </w:t>
      </w:r>
      <w:proofErr w:type="spellStart"/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Lisner</w:t>
      </w:r>
      <w:proofErr w:type="spellEnd"/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7. Morar Melhor;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d)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Jardim Tropical I, II e III;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Conagro (parte);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Mário Duílio Henry;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4 Mário Duílio Henry I (Geraldo Rodrigues Parreira);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5. Mário Duílio Henry II (Luiz Gonzaga Lopes da Silva);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e)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1. Conagro (Parque Aquarius);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Montes Claros;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3. Santana;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f) Associação Comunitária de Moradores de Bairros, com área de atuação nos seguintes bairros: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1. </w:t>
      </w:r>
      <w:proofErr w:type="spellStart"/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Tonetto</w:t>
      </w:r>
      <w:proofErr w:type="spellEnd"/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;</w:t>
      </w:r>
    </w:p>
    <w:p w:rsidR="00284870" w:rsidRPr="00284870" w:rsidRDefault="00284870" w:rsidP="00284870">
      <w:pPr>
        <w:spacing w:after="0" w:line="240" w:lineRule="auto"/>
        <w:ind w:left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2. Primitivo.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i/>
          <w:color w:val="000000"/>
          <w:sz w:val="24"/>
          <w:szCs w:val="24"/>
          <w:lang w:eastAsia="ar-SA"/>
        </w:rPr>
        <w:t>Parágrafo único.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Integra a presente Lei, mapa de delimitação das áreas de atuações das Associações Comunitárias de Bairros.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Art. 2º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Esta Lei entra em vigor na data de sua publicação.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Art. 3º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Revogam-se as disposições em contrário.</w:t>
      </w:r>
    </w:p>
    <w:p w:rsidR="00284870" w:rsidRPr="00284870" w:rsidRDefault="00284870" w:rsidP="00284870">
      <w:pPr>
        <w:spacing w:after="0" w:line="240" w:lineRule="auto"/>
        <w:ind w:firstLine="993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Palácio dos Pioneiros, Gabinete do Prefeito Municipal, Nova Xavantina - MT, 10 de novembro de 2021.             </w:t>
      </w: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b/>
          <w:color w:val="000000"/>
          <w:sz w:val="24"/>
          <w:szCs w:val="24"/>
          <w:lang w:eastAsia="ar-SA"/>
        </w:rPr>
        <w:t>João Machado Neto</w:t>
      </w: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 xml:space="preserve"> – João Bang</w:t>
      </w: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  <w:r w:rsidRPr="00284870">
        <w:rPr>
          <w:rFonts w:ascii="Calibri" w:eastAsia="Arial Unicode MS" w:hAnsi="Calibri" w:cs="Calibri"/>
          <w:color w:val="000000"/>
          <w:sz w:val="24"/>
          <w:szCs w:val="24"/>
          <w:lang w:eastAsia="ar-SA"/>
        </w:rPr>
        <w:t>Prefeito Municipal</w:t>
      </w:r>
    </w:p>
    <w:p w:rsidR="00284870" w:rsidRPr="00284870" w:rsidRDefault="00284870" w:rsidP="00284870">
      <w:pPr>
        <w:spacing w:after="0" w:line="240" w:lineRule="auto"/>
        <w:ind w:firstLine="993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ar-SA"/>
        </w:rPr>
      </w:pPr>
    </w:p>
    <w:p w:rsidR="00CF5F27" w:rsidRDefault="00CF5F27">
      <w:bookmarkStart w:id="0" w:name="_GoBack"/>
      <w:bookmarkEnd w:id="0"/>
    </w:p>
    <w:sectPr w:rsidR="00CF5F27" w:rsidSect="00BD6778">
      <w:headerReference w:type="default" r:id="rId4"/>
      <w:footerReference w:type="default" r:id="rId5"/>
      <w:pgSz w:w="11905" w:h="16837" w:code="9"/>
      <w:pgMar w:top="260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B4" w:rsidRPr="00081A5F" w:rsidRDefault="00284870" w:rsidP="00415BFD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Avenida Expedição Roncador Xingu, n.º 249 –</w:t>
    </w:r>
    <w:r w:rsidRPr="00081A5F">
      <w:rPr>
        <w:rFonts w:ascii="Calibri" w:hAnsi="Calibri" w:cs="Calibri"/>
        <w:sz w:val="16"/>
        <w:szCs w:val="16"/>
      </w:rPr>
      <w:t xml:space="preserve">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BA46B4" w:rsidRPr="00081A5F" w:rsidRDefault="00284870" w:rsidP="00415BFD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  <w:p w:rsidR="00BA46B4" w:rsidRDefault="00284870" w:rsidP="00415BFD">
    <w:pPr>
      <w:pStyle w:val="Rodap"/>
      <w:jc w:val="center"/>
      <w:rPr>
        <w:rFonts w:ascii="Arial" w:hAnsi="Arial" w:cs="Arial"/>
        <w:sz w:val="18"/>
        <w:szCs w:val="18"/>
      </w:rPr>
    </w:pPr>
  </w:p>
  <w:p w:rsidR="002E6520" w:rsidRPr="00BA46B4" w:rsidRDefault="00284870" w:rsidP="00415BFD">
    <w:pPr>
      <w:pStyle w:val="Rodap"/>
      <w:jc w:val="center"/>
      <w:rPr>
        <w:rFonts w:ascii="Arial" w:hAnsi="Arial" w:cs="Arial"/>
        <w:sz w:val="18"/>
        <w:szCs w:val="18"/>
      </w:rPr>
    </w:pPr>
    <w:r w:rsidRPr="00697F20">
      <w:rPr>
        <w:rFonts w:ascii="Arial" w:hAnsi="Arial" w:cs="Arial"/>
        <w:sz w:val="18"/>
        <w:szCs w:val="18"/>
      </w:rPr>
      <w:fldChar w:fldCharType="begin"/>
    </w:r>
    <w:r w:rsidRPr="00697F20">
      <w:rPr>
        <w:rFonts w:ascii="Arial" w:hAnsi="Arial" w:cs="Arial"/>
        <w:sz w:val="18"/>
        <w:szCs w:val="18"/>
      </w:rPr>
      <w:instrText xml:space="preserve"> PAGE   \* MERGEFORMAT </w:instrText>
    </w:r>
    <w:r w:rsidRPr="00697F2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697F20">
      <w:rPr>
        <w:rFonts w:ascii="Arial" w:hAnsi="Arial" w:cs="Arial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F72" w:rsidRDefault="00284870" w:rsidP="00415BFD">
    <w:pPr>
      <w:pStyle w:val="Cabealho"/>
      <w:ind w:firstLine="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6F72" w:rsidRDefault="00284870" w:rsidP="00415BFD">
    <w:pPr>
      <w:pStyle w:val="Cabealho"/>
      <w:ind w:firstLine="0"/>
      <w:jc w:val="center"/>
    </w:pPr>
  </w:p>
  <w:p w:rsidR="00286F72" w:rsidRDefault="00284870" w:rsidP="00415BFD">
    <w:pPr>
      <w:pStyle w:val="Cabealho"/>
      <w:ind w:firstLine="0"/>
      <w:jc w:val="center"/>
    </w:pPr>
  </w:p>
  <w:p w:rsidR="00286F72" w:rsidRPr="00902003" w:rsidRDefault="00284870" w:rsidP="00415BFD">
    <w:pPr>
      <w:pStyle w:val="Cabealho"/>
      <w:ind w:firstLine="0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286F72" w:rsidRPr="00902003" w:rsidRDefault="00284870" w:rsidP="00415BFD">
    <w:pPr>
      <w:pStyle w:val="Cabealho"/>
      <w:ind w:firstLine="0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286F72" w:rsidRPr="00902003" w:rsidRDefault="00284870" w:rsidP="00286F72">
    <w:pPr>
      <w:pStyle w:val="Cabealho"/>
      <w:jc w:val="center"/>
      <w:rPr>
        <w:rFonts w:ascii="Calibri" w:hAnsi="Calibri" w:cs="Calibri"/>
        <w:b/>
        <w:sz w:val="18"/>
        <w:szCs w:val="18"/>
      </w:rPr>
    </w:pPr>
    <w:r w:rsidRPr="00902003">
      <w:rPr>
        <w:rFonts w:ascii="Calibri" w:hAnsi="Calibri" w:cs="Calibri"/>
        <w:b/>
        <w:sz w:val="18"/>
        <w:szCs w:val="18"/>
      </w:rPr>
      <w:t xml:space="preserve"> </w:t>
    </w:r>
  </w:p>
  <w:p w:rsidR="00286F72" w:rsidRDefault="00284870" w:rsidP="00415BFD">
    <w:pPr>
      <w:pStyle w:val="Cabealho"/>
      <w:tabs>
        <w:tab w:val="clear" w:pos="8504"/>
        <w:tab w:val="right" w:pos="9353"/>
      </w:tabs>
      <w:ind w:firstLine="0"/>
    </w:pPr>
    <w:r>
      <w:rPr>
        <w:b/>
      </w:rPr>
      <w:tab/>
      <w:t>====================================================================</w:t>
    </w:r>
    <w:r>
      <w:rPr>
        <w:b/>
      </w:rPr>
      <w:tab/>
      <w:t xml:space="preserve"> 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70"/>
    <w:rsid w:val="00284870"/>
    <w:rsid w:val="00C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6FC52-6A50-4B3D-8964-DE2C3F50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84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4870"/>
  </w:style>
  <w:style w:type="character" w:styleId="Hyperlink">
    <w:name w:val="Hyperlink"/>
    <w:rsid w:val="0028487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84870"/>
    <w:pPr>
      <w:tabs>
        <w:tab w:val="center" w:pos="4252"/>
        <w:tab w:val="right" w:pos="8504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2848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2022-05-12T16:32:00Z</dcterms:created>
  <dcterms:modified xsi:type="dcterms:W3CDTF">2022-05-12T16:32:00Z</dcterms:modified>
</cp:coreProperties>
</file>