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14" w:rsidRDefault="00C82B14" w:rsidP="00C82B14">
      <w:pPr>
        <w:pStyle w:val="Ttulo"/>
      </w:pPr>
      <w:r>
        <w:t xml:space="preserve">LEI N.º 1.103, DE 13 DE DEZEMBRO DE </w:t>
      </w:r>
      <w:proofErr w:type="gramStart"/>
      <w:r>
        <w:t>2004</w:t>
      </w:r>
      <w:proofErr w:type="gramEnd"/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"INSTITUI NO MUNICÍPIO DE NOVA XAVANTINA A CONTRIBUIÇÃO PARA CUSTEIO DA ILUMINAÇÃO PÚBLICA PREVISTA NO ARTIGO 149-A DA CONSTITUIÇÃO FEDERAL".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Prefeito Municipal de Nova Xavantina, Estado de Mato Grosso, Sr. ROBISON APARECIDO PAZETTO, faz saber que a Câmara Municipal aprovou e ele sanciona a seguinte Lei: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Art. 1º </w:t>
      </w:r>
      <w:r>
        <w:rPr>
          <w:rFonts w:ascii="Arial" w:hAnsi="Arial" w:cs="Arial"/>
          <w:sz w:val="22"/>
        </w:rPr>
        <w:t>Fica instituída no Município de Nova Xavantina, a Contribuição para o custeio do Serviço de Iluminação Pública - CIP, prevista no artigo 149-A da Constituição Federal.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Parágrafo único</w:t>
      </w:r>
      <w:r>
        <w:rPr>
          <w:rFonts w:ascii="Arial" w:hAnsi="Arial" w:cs="Arial"/>
          <w:sz w:val="22"/>
        </w:rPr>
        <w:t xml:space="preserve"> - O serviço previsto no </w:t>
      </w:r>
      <w:r>
        <w:rPr>
          <w:rFonts w:ascii="Arial" w:hAnsi="Arial" w:cs="Arial"/>
          <w:i/>
          <w:iCs/>
          <w:sz w:val="22"/>
        </w:rPr>
        <w:t>caput</w:t>
      </w:r>
      <w:r>
        <w:rPr>
          <w:rFonts w:ascii="Arial" w:hAnsi="Arial" w:cs="Arial"/>
          <w:sz w:val="22"/>
        </w:rPr>
        <w:t xml:space="preserve"> deste artigo compreende o consumo de energia elétrica destinado à iluminação das vias, logradouros e demais bens públicos, e a instalação, manutenção, melhoramento e expansão da rede de iluminação pública.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Art. 2º</w:t>
      </w:r>
      <w:proofErr w:type="gramStart"/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proofErr w:type="gramEnd"/>
      <w:r>
        <w:rPr>
          <w:rFonts w:ascii="Arial" w:hAnsi="Arial" w:cs="Arial"/>
          <w:sz w:val="22"/>
        </w:rPr>
        <w:t>A Contribuição para Custeio do Serviço de Iluminação Pública - CIP será calculada pela aplicação das alíquotas sobre o valor da tarifa de fornecimento de energia elétrica destinada à iluminação pública, definida pelo Governo Federal.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Parágrafo único</w:t>
      </w:r>
      <w:r>
        <w:rPr>
          <w:rFonts w:ascii="Arial" w:hAnsi="Arial" w:cs="Arial"/>
          <w:sz w:val="22"/>
        </w:rPr>
        <w:t xml:space="preserve"> - As alíquotas para cálculo do valor da CIP observarão a distinção entre contribuintes de natureza Residencial, Industrial e Comercial, de acordo com a classificação adotada pela legislação do setor elétrico em vigor, nos termos da tabela em anexo.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Art. 3º </w:t>
      </w:r>
      <w:r>
        <w:rPr>
          <w:rFonts w:ascii="Arial" w:hAnsi="Arial" w:cs="Arial"/>
          <w:sz w:val="22"/>
        </w:rPr>
        <w:t>Estão isentos da contribuição os consumidores da Classe residencial com consumo de até 50 kWh e os consumidores localizados na zona rural do município.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Art. 4º </w:t>
      </w:r>
      <w:r>
        <w:rPr>
          <w:rFonts w:ascii="Arial" w:hAnsi="Arial" w:cs="Arial"/>
          <w:sz w:val="22"/>
        </w:rPr>
        <w:t>A CIP será lançada para pagamento juntamente com a fatura mensal de energia elétrica.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§ 1º.</w:t>
      </w:r>
      <w:r>
        <w:rPr>
          <w:rFonts w:ascii="Arial" w:hAnsi="Arial" w:cs="Arial"/>
          <w:sz w:val="22"/>
        </w:rPr>
        <w:t xml:space="preserve"> O Município convencionará ou contratará com a concessionária de energia elétrica a forma de cobrança e repasse dos recursos relativos à contribuição.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§ 2º </w:t>
      </w:r>
      <w:r>
        <w:rPr>
          <w:rFonts w:ascii="Arial" w:hAnsi="Arial" w:cs="Arial"/>
          <w:sz w:val="22"/>
        </w:rPr>
        <w:t xml:space="preserve">O Convênio ou contrato a que se refere o </w:t>
      </w:r>
      <w:r>
        <w:rPr>
          <w:rFonts w:ascii="Arial" w:hAnsi="Arial" w:cs="Arial"/>
          <w:i/>
          <w:iCs/>
          <w:sz w:val="22"/>
        </w:rPr>
        <w:t>caput</w:t>
      </w:r>
      <w:r>
        <w:rPr>
          <w:rFonts w:ascii="Arial" w:hAnsi="Arial" w:cs="Arial"/>
          <w:sz w:val="22"/>
        </w:rPr>
        <w:t xml:space="preserve"> deste artigo deverá, obrigatoriamente, prever repasse mensal do valor arrecadado pela concessionária ao município, retendo os valores necessários ao pagamento de energia fornecida para a iluminação pública e os valores fixados para remuneração dos custos e arrecadação e de débitos que eventualmente, o município tenha ou venha a ter com a concessionária, relativo aos serviços supracitados.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§ 3º</w:t>
      </w:r>
      <w:r>
        <w:rPr>
          <w:rFonts w:ascii="Arial" w:hAnsi="Arial" w:cs="Arial"/>
          <w:sz w:val="22"/>
        </w:rPr>
        <w:t xml:space="preserve"> Caso o montante arrecadado com a contribuição de que trata esta lei, não seja suficiente para fazer face as despesas mensais e com Programa de Iluminação Pública, o Município pagará </w:t>
      </w:r>
      <w:proofErr w:type="gramStart"/>
      <w:r>
        <w:rPr>
          <w:rFonts w:ascii="Arial" w:hAnsi="Arial" w:cs="Arial"/>
          <w:sz w:val="22"/>
        </w:rPr>
        <w:t>à</w:t>
      </w:r>
      <w:proofErr w:type="gramEnd"/>
      <w:r>
        <w:rPr>
          <w:rFonts w:ascii="Arial" w:hAnsi="Arial" w:cs="Arial"/>
          <w:sz w:val="22"/>
        </w:rPr>
        <w:t xml:space="preserve"> concessionária a diferença.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§ 4º </w:t>
      </w:r>
      <w:r>
        <w:rPr>
          <w:rFonts w:ascii="Arial" w:hAnsi="Arial" w:cs="Arial"/>
          <w:sz w:val="22"/>
        </w:rPr>
        <w:t xml:space="preserve">O Montante devido e não pago da CIP a que se refere o </w:t>
      </w:r>
      <w:r>
        <w:rPr>
          <w:rFonts w:ascii="Arial" w:hAnsi="Arial" w:cs="Arial"/>
          <w:i/>
          <w:iCs/>
          <w:sz w:val="22"/>
        </w:rPr>
        <w:t>caput</w:t>
      </w:r>
      <w:r>
        <w:rPr>
          <w:rFonts w:ascii="Arial" w:hAnsi="Arial" w:cs="Arial"/>
          <w:sz w:val="22"/>
        </w:rPr>
        <w:t xml:space="preserve"> deste artigo será inscrito em dívida ativa, 60 (sessenta) dias após a verificação da inadimplência.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§ 5º</w:t>
      </w:r>
      <w:r>
        <w:rPr>
          <w:rFonts w:ascii="Arial" w:hAnsi="Arial" w:cs="Arial"/>
          <w:sz w:val="22"/>
        </w:rPr>
        <w:t xml:space="preserve"> Servirá como título hábil para inscrição: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- a comunicação do não pagamento efetuada pela concessionária que contenha </w:t>
      </w:r>
      <w:proofErr w:type="gramStart"/>
      <w:r>
        <w:rPr>
          <w:rFonts w:ascii="Arial" w:hAnsi="Arial" w:cs="Arial"/>
          <w:sz w:val="22"/>
        </w:rPr>
        <w:t>os elementos previsto no artigo 202 e incisos do Código Tributário Nacional</w:t>
      </w:r>
      <w:proofErr w:type="gramEnd"/>
      <w:r>
        <w:rPr>
          <w:rFonts w:ascii="Arial" w:hAnsi="Arial" w:cs="Arial"/>
          <w:sz w:val="22"/>
        </w:rPr>
        <w:t>;</w:t>
      </w: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II - a duplicata da fatura de energia elétrica não paga;</w:t>
      </w: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III - outro documento que contenha </w:t>
      </w:r>
      <w:proofErr w:type="gramStart"/>
      <w:r>
        <w:rPr>
          <w:rFonts w:ascii="Arial" w:hAnsi="Arial" w:cs="Arial"/>
          <w:sz w:val="22"/>
        </w:rPr>
        <w:t>os elementos previsto no artigo 202 e incisos do Código Tributário Nacional</w:t>
      </w:r>
      <w:proofErr w:type="gramEnd"/>
      <w:r>
        <w:rPr>
          <w:rFonts w:ascii="Arial" w:hAnsi="Arial" w:cs="Arial"/>
          <w:sz w:val="22"/>
        </w:rPr>
        <w:t>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§ 6º </w:t>
      </w:r>
      <w:r>
        <w:rPr>
          <w:rFonts w:ascii="Arial" w:hAnsi="Arial" w:cs="Arial"/>
          <w:sz w:val="22"/>
        </w:rPr>
        <w:t>Os valores da CIP não pagos no vencimento serão acrescidos de juros de mora, multa e correção monetária, nos termos da legislação tributária municipal.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Art. 5º </w:t>
      </w:r>
      <w:r>
        <w:rPr>
          <w:rFonts w:ascii="Arial" w:hAnsi="Arial" w:cs="Arial"/>
          <w:sz w:val="22"/>
        </w:rPr>
        <w:t>Fica criado o fundo Municipal de Iluminação Pública, de natureza contábil e administrado pelo Departamento Municipal de Finanças.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Parágrafo Único </w:t>
      </w:r>
      <w:r>
        <w:rPr>
          <w:rFonts w:ascii="Arial" w:hAnsi="Arial" w:cs="Arial"/>
          <w:sz w:val="22"/>
        </w:rPr>
        <w:t>- Para o fundo deverão ser destinados os recursos arrecadados com a CIP para custear os serviços de iluminação pública previsto nesta lei.</w:t>
      </w:r>
    </w:p>
    <w:p w:rsidR="00C82B14" w:rsidRDefault="00C82B14" w:rsidP="00C82B14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Art. 6º</w:t>
      </w:r>
      <w:r>
        <w:rPr>
          <w:rFonts w:ascii="Arial" w:hAnsi="Arial" w:cs="Arial"/>
          <w:sz w:val="22"/>
        </w:rPr>
        <w:t xml:space="preserve"> O Poder Executivo regulamentará a aplicação desta Lei no prazo de 60 (sessenta) dias a contar da data de sua publicação.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Art. 7º</w:t>
      </w:r>
      <w:r>
        <w:rPr>
          <w:rFonts w:ascii="Arial" w:hAnsi="Arial" w:cs="Arial"/>
          <w:sz w:val="22"/>
        </w:rPr>
        <w:t xml:space="preserve"> Fica o Poder Executivo autorizado a firmar com a REDE/CEMAT o convênio ou contrato a que se refere o artigo 4.º desta Lei.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Art. 8º </w:t>
      </w:r>
      <w:r>
        <w:rPr>
          <w:rFonts w:ascii="Arial" w:hAnsi="Arial" w:cs="Arial"/>
          <w:sz w:val="22"/>
        </w:rPr>
        <w:t>Esta Lei entra em vigor na data de sua publicação, produzindo efeitos a partir do próximo dia 1º (primeiro) de janeiro de 2005.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Art. 9º </w:t>
      </w:r>
      <w:r>
        <w:rPr>
          <w:rFonts w:ascii="Arial" w:hAnsi="Arial" w:cs="Arial"/>
          <w:bCs/>
          <w:sz w:val="22"/>
        </w:rPr>
        <w:t>Fica revogada em todos os seus termos a Lei Municipal n.º 1050, de 08 de dezembro de 2003.</w:t>
      </w:r>
    </w:p>
    <w:p w:rsidR="00C82B14" w:rsidRDefault="00C82B14" w:rsidP="00C82B14">
      <w:pPr>
        <w:ind w:firstLine="708"/>
        <w:jc w:val="both"/>
        <w:rPr>
          <w:rFonts w:ascii="Arial" w:hAnsi="Arial" w:cs="Arial"/>
          <w:b/>
          <w:bCs/>
          <w:sz w:val="22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Art. 10 </w:t>
      </w:r>
      <w:r>
        <w:rPr>
          <w:rFonts w:ascii="Arial" w:hAnsi="Arial" w:cs="Arial"/>
          <w:sz w:val="22"/>
        </w:rPr>
        <w:t>Revogam-se as disposições em contrário.</w:t>
      </w:r>
    </w:p>
    <w:p w:rsidR="00C82B14" w:rsidRDefault="00C82B14" w:rsidP="00C82B14">
      <w:pPr>
        <w:jc w:val="both"/>
        <w:rPr>
          <w:rFonts w:ascii="Arial" w:hAnsi="Arial" w:cs="Arial"/>
          <w:sz w:val="22"/>
        </w:rPr>
      </w:pPr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Palácio dos Pioneiros</w:t>
      </w:r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Gabinete do Prefeito Municipal</w:t>
      </w:r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Nova Xavantina, 13 de dezembro de </w:t>
      </w:r>
      <w:proofErr w:type="gramStart"/>
      <w:r>
        <w:rPr>
          <w:rFonts w:ascii="Arial" w:hAnsi="Arial" w:cs="Arial"/>
          <w:sz w:val="22"/>
        </w:rPr>
        <w:t>2004</w:t>
      </w:r>
      <w:proofErr w:type="gramEnd"/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</w:p>
    <w:p w:rsidR="00C82B14" w:rsidRDefault="00C82B14" w:rsidP="00C82B1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ROBISON APARECIDO PAZETTO</w:t>
      </w:r>
    </w:p>
    <w:p w:rsidR="00C82B14" w:rsidRDefault="00C82B14" w:rsidP="00C82B1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Prefeito Municipal</w:t>
      </w: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Lei nº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1.103/2004.</w:t>
      </w:r>
    </w:p>
    <w:p w:rsidR="00C82B14" w:rsidRDefault="00C82B14" w:rsidP="00C82B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ANEXA</w:t>
      </w: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-</w:t>
      </w:r>
      <w:r>
        <w:rPr>
          <w:rFonts w:ascii="Arial" w:hAnsi="Arial" w:cs="Arial"/>
          <w:sz w:val="24"/>
        </w:rPr>
        <w:object w:dxaOrig="7872" w:dyaOrig="8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3pt;height:466.3pt" o:ole="" fillcolor="window">
            <v:imagedata r:id="rId5" o:title=""/>
          </v:shape>
          <o:OLEObject Type="Embed" ProgID="Excel.Sheet.8" ShapeID="_x0000_i1025" DrawAspect="Content" ObjectID="_1686388788" r:id="rId6"/>
        </w:object>
      </w: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82B14" w:rsidRDefault="00C82B14" w:rsidP="00C82B14">
      <w:pPr>
        <w:jc w:val="both"/>
        <w:rPr>
          <w:rFonts w:ascii="Arial" w:hAnsi="Arial" w:cs="Arial"/>
          <w:sz w:val="24"/>
        </w:rPr>
      </w:pPr>
    </w:p>
    <w:p w:rsidR="00C82B14" w:rsidRDefault="00C82B14" w:rsidP="00C82B14">
      <w:pPr>
        <w:pStyle w:val="Ttulo2"/>
        <w:rPr>
          <w:sz w:val="20"/>
        </w:rPr>
      </w:pPr>
      <w:r>
        <w:rPr>
          <w:sz w:val="20"/>
        </w:rPr>
        <w:lastRenderedPageBreak/>
        <w:t xml:space="preserve">MENSAGEM Nº 039, 06 DE DEZEMBRO DE </w:t>
      </w:r>
      <w:proofErr w:type="gramStart"/>
      <w:r>
        <w:rPr>
          <w:sz w:val="20"/>
        </w:rPr>
        <w:t>2004</w:t>
      </w:r>
      <w:proofErr w:type="gramEnd"/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Ex.mo</w:t>
      </w:r>
      <w:proofErr w:type="spellEnd"/>
      <w:r>
        <w:rPr>
          <w:rFonts w:ascii="Arial" w:hAnsi="Arial" w:cs="Arial"/>
        </w:rPr>
        <w:t xml:space="preserve"> Senhor Presidente;</w:t>
      </w:r>
    </w:p>
    <w:p w:rsidR="00C82B14" w:rsidRDefault="00C82B14" w:rsidP="00C82B1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Ex.mos</w:t>
      </w:r>
      <w:proofErr w:type="spellEnd"/>
      <w:r>
        <w:rPr>
          <w:rFonts w:ascii="Arial" w:hAnsi="Arial" w:cs="Arial"/>
        </w:rPr>
        <w:t xml:space="preserve"> Senhores Vereadores;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de Lei n° 039/2004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que ora é encaminhado a essa Casa Legislativa é fruto de intenso debate envolvendo diversas entidades representativas dos Municípios em nível nacional e regional, capitaneadas pela Confederação Nacional de Municípios – CNM. É, portanto, proposta consensual, podendo ser rotulada de proposta de Estado, e não de Governo. Contém a síntese dos anseios municipalistas que encontraram eco no Congresso Nacional, junto a todas as agremiações políticas lá representadas.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Trata-se de Projeto de Lei que </w:t>
      </w:r>
      <w:proofErr w:type="gramStart"/>
      <w:r>
        <w:rPr>
          <w:rFonts w:ascii="Arial" w:hAnsi="Arial" w:cs="Arial"/>
        </w:rPr>
        <w:t>institui,</w:t>
      </w:r>
      <w:proofErr w:type="gramEnd"/>
      <w:r>
        <w:rPr>
          <w:rFonts w:ascii="Arial" w:hAnsi="Arial" w:cs="Arial"/>
        </w:rPr>
        <w:t xml:space="preserve"> no território do Município de Nova Xavantina - MT, a CIP – Contribuição para Custeio do Serviço de Iluminação Pública -, prevista no art. 149-A e parágrafo único, da Constituição Federal, introduzido pela aprovação de Emenda Constitucional  de 2002.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art. 149-A e seu parágrafo único da Constituição Federal </w:t>
      </w:r>
      <w:proofErr w:type="gramStart"/>
      <w:r>
        <w:rPr>
          <w:rFonts w:ascii="Arial" w:hAnsi="Arial" w:cs="Arial"/>
        </w:rPr>
        <w:t>prevê</w:t>
      </w:r>
      <w:proofErr w:type="gramEnd"/>
      <w:r>
        <w:rPr>
          <w:rFonts w:ascii="Arial" w:hAnsi="Arial" w:cs="Arial"/>
        </w:rPr>
        <w:t xml:space="preserve"> espécie tributária nova e que inclui dentre as competências dos Municípios a de instituir, na forma das respectivas leis, contribuição especial para custear o serviço de iluminação pública. Prevê, ainda, o novo texto constitucional, a possibilidade de que o valor da contribuição seja cobrado juntamente com a fatura mensal de energia elétrica emitida pelas concessionárias distribuidoras em todo o País.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contribuição é caracterizada tecnicamente pela destinação legal do produto de sua arrecadação. São exemplos </w:t>
      </w:r>
      <w:proofErr w:type="gramStart"/>
      <w:r>
        <w:rPr>
          <w:rFonts w:ascii="Arial" w:hAnsi="Arial" w:cs="Arial"/>
        </w:rPr>
        <w:t>aquelas</w:t>
      </w:r>
      <w:proofErr w:type="gramEnd"/>
      <w:r>
        <w:rPr>
          <w:rFonts w:ascii="Arial" w:hAnsi="Arial" w:cs="Arial"/>
        </w:rPr>
        <w:t xml:space="preserve"> integrantes do sistema tributário nacional, tais como as de seguridade, a sindical, CPMF, as contribuições para as entidades fiscalizadoras do exercício profissional, as contribuições de intervenção no domínio econômico, etc.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razão disso, a proposta ora encaminhada contém a criação do Fundo Municipal de Iluminação Pública (art.7°), de natureza contábil, administrado pela Secretaria Municipal da Fazenda, para onde deverão ser carreados todos os recursos decorrentes da arrecadação da nova contribuição, permitindo assim, com a transparência necessária, precisar exatamente o valor arrecadado e a utilização dos recursos da contribuição de iluminação.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recursos a serem arrecadados com a nova contribuição serão utilizados, como consta no art. 1° e seu </w:t>
      </w:r>
      <w:r>
        <w:rPr>
          <w:rFonts w:ascii="Arial" w:hAnsi="Arial" w:cs="Arial"/>
          <w:i/>
        </w:rPr>
        <w:t>Parágrafo Único</w:t>
      </w:r>
      <w:r>
        <w:rPr>
          <w:rFonts w:ascii="Arial" w:hAnsi="Arial" w:cs="Arial"/>
        </w:rPr>
        <w:t xml:space="preserve">, para custear a energia fornecida pelas concessionárias distribuidoras para a iluminação de vias, logradouros e demais bens públicos, e bem assim para viabilizar os serviços de iluminação que o Município deve </w:t>
      </w:r>
      <w:proofErr w:type="gramStart"/>
      <w:r>
        <w:rPr>
          <w:rFonts w:ascii="Arial" w:hAnsi="Arial" w:cs="Arial"/>
        </w:rPr>
        <w:t>realizar,</w:t>
      </w:r>
      <w:proofErr w:type="gramEnd"/>
      <w:r>
        <w:rPr>
          <w:rFonts w:ascii="Arial" w:hAnsi="Arial" w:cs="Arial"/>
        </w:rPr>
        <w:t xml:space="preserve"> especialmente a manutenção e a expansão das redes públicas de iluminação.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contribuição será devida por todos aqueles que, residentes ou estabelecidos no território do Município, possuam ligação regular de energia elétrica, sendo o valor Tarifa de fornecimento de energia elétrica de Iluminação pública a base de cálculo da contribuição.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alíquotas da contribuição variam conforme o consumo e o enquadramento nas classes de consumidores previstas na Resolução N.º 456, de 29/11/2000, da ANEEL.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Incluem-se, aí, as classes “poder público” e “serviço público”, de vez que tais classes não estão albergadas sob a imunidade tributária. Também será tributada a classe 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“consumo próprio” (consumo de energia elétrica da própria concessionária).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Esses critérios visam conjugar três fatores fundamentais na instituição da nova contribuição, a saber: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a) praticidade e viabilidade técnica para cobrança, b)  inclusão dentre os contribuintes do maior universo possível de munícipes, visando distribuir adequadamente a carga tributária e c) justa distribuição do ônus da nova contribuição, garantindo isenção para os consumidores menores, de presumida baixa capacidade contributiva.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alíquotas propostas são em percentuais sobre a tarifa de fornecimento de Iluminação Pública, de acordo com as condições de cada classe, possibilitando, assim, uma correlação com a capacidade </w:t>
      </w:r>
      <w:r>
        <w:rPr>
          <w:rFonts w:ascii="Arial" w:hAnsi="Arial" w:cs="Arial"/>
        </w:rPr>
        <w:lastRenderedPageBreak/>
        <w:t>contributiva, bem como a isenção das faixas de contribuintes residenciais que consomem até 50KW/h e de consumidores rurais.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Saliente-se que neste aspecto, no que tange à Lei de Responsabilidade Fiscal, estas isenções, embora </w:t>
      </w:r>
      <w:proofErr w:type="gramStart"/>
      <w:r>
        <w:rPr>
          <w:rFonts w:ascii="Arial" w:hAnsi="Arial" w:cs="Arial"/>
        </w:rPr>
        <w:t>enquadráveis</w:t>
      </w:r>
      <w:proofErr w:type="gramEnd"/>
      <w:r>
        <w:rPr>
          <w:rFonts w:ascii="Arial" w:hAnsi="Arial" w:cs="Arial"/>
        </w:rPr>
        <w:t xml:space="preserve"> como renúncia de receita, estão de acordo com aquela lei porque as alíquotas previstas para as outras faixas já garantem uma arrecadação suficiente  para o fim da contribuição, qual seja o custeio da iluminação pública, bem como posteriormente o executivo fará o encaminhamento das competentes alterações na LDO e LOA para prever a receita e complementar as exigências do art. 14 da LRF.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valor da CIP, na forma da proposta ora enviada, será pago mensalmente, nos mesmos prazos de vencimento das faturas de energia elétrica. Em caso de inadimplência, incidirão sobre a contribuição os ônus de multa e juros previstos na legislação tributária municipal para o IPTU. </w:t>
      </w: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Importante, também, ressaltar que a EC transfere para a esfera de competência dos Municípios a responsabilidade de instituir e cobrar a CIP e que, portanto, não é faculdade destes instituí-la ou não. Se não o fizerem sofrerão </w:t>
      </w:r>
      <w:proofErr w:type="gramStart"/>
      <w:r>
        <w:rPr>
          <w:rFonts w:ascii="Arial" w:hAnsi="Arial" w:cs="Arial"/>
        </w:rPr>
        <w:t>sanções .</w:t>
      </w:r>
      <w:proofErr w:type="gramEnd"/>
      <w:r>
        <w:rPr>
          <w:rFonts w:ascii="Arial" w:hAnsi="Arial" w:cs="Arial"/>
        </w:rPr>
        <w:t xml:space="preserve"> Devem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também definir os parâmetros e a operacionalização da mesma. </w:t>
      </w: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obrigatoriedade da instituição do tributo se dá em face do art. 11 da Lei Complementar 101/2000, a LRF que diz: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jc w:val="both"/>
        <w:rPr>
          <w:rFonts w:ascii="Arial" w:hAnsi="Arial" w:cs="Arial"/>
          <w:i/>
          <w:snapToGrid w:val="0"/>
          <w:color w:val="000000"/>
        </w:rPr>
      </w:pPr>
      <w:proofErr w:type="gramStart"/>
      <w:r>
        <w:rPr>
          <w:rFonts w:ascii="Arial" w:hAnsi="Arial" w:cs="Arial"/>
          <w:i/>
          <w:snapToGrid w:val="0"/>
          <w:color w:val="000000"/>
        </w:rPr>
        <w:t xml:space="preserve">“ </w:t>
      </w:r>
      <w:proofErr w:type="gramEnd"/>
      <w:r>
        <w:rPr>
          <w:rFonts w:ascii="Arial" w:hAnsi="Arial" w:cs="Arial"/>
          <w:i/>
          <w:snapToGrid w:val="0"/>
          <w:color w:val="000000"/>
        </w:rPr>
        <w:t>Art. 11. Constituem requisitos essenciais da responsabilidade na gestão fiscal a instituição, previsão e efetiva arrecadação de todos os tributos da competência constitucional do ente da Federação.</w:t>
      </w:r>
    </w:p>
    <w:p w:rsidR="00C82B14" w:rsidRDefault="00C82B14" w:rsidP="00C82B14">
      <w:pPr>
        <w:jc w:val="both"/>
        <w:rPr>
          <w:rFonts w:ascii="Arial" w:hAnsi="Arial" w:cs="Arial"/>
          <w:i/>
          <w:snapToGrid w:val="0"/>
          <w:color w:val="000000"/>
        </w:rPr>
      </w:pPr>
    </w:p>
    <w:p w:rsidR="00C82B14" w:rsidRDefault="00C82B14" w:rsidP="00C82B1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napToGrid w:val="0"/>
          <w:color w:val="000000"/>
        </w:rPr>
        <w:t xml:space="preserve">Parágrafo único. </w:t>
      </w:r>
      <w:proofErr w:type="gramStart"/>
      <w:r>
        <w:rPr>
          <w:rFonts w:ascii="Arial" w:hAnsi="Arial" w:cs="Arial"/>
          <w:i/>
          <w:snapToGrid w:val="0"/>
          <w:color w:val="000000"/>
        </w:rPr>
        <w:t>É vedada a realização de transferências voluntárias para o ente que não observe o disposto no caput, no que se refere aos impostos.”</w:t>
      </w:r>
      <w:proofErr w:type="gramEnd"/>
      <w:r>
        <w:rPr>
          <w:rFonts w:ascii="Arial" w:hAnsi="Arial" w:cs="Arial"/>
          <w:i/>
          <w:snapToGrid w:val="0"/>
          <w:color w:val="000000"/>
        </w:rPr>
        <w:t xml:space="preserve"> </w:t>
      </w:r>
    </w:p>
    <w:p w:rsidR="00C82B14" w:rsidRDefault="00C82B14" w:rsidP="00C82B14">
      <w:pPr>
        <w:jc w:val="both"/>
        <w:rPr>
          <w:rFonts w:ascii="Arial" w:hAnsi="Arial" w:cs="Arial"/>
          <w:i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Finalmente, a proposta contém autorização para que o Poder Executivo Municipal formalize junto à concessionária distribuidora, convênio ou contrato visando delegar a arrecadação da contribuição. Tal ajuste permitirá a utilização dos sistemas e cadastros da empresa distribuidora, de tal modo que fique viabilizada a cobrança da nova contribuição, com a segurança e agilidade necessária. 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é, em síntese, a proposta legislativa encaminhada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apreciação de V. </w:t>
      </w:r>
      <w:proofErr w:type="spellStart"/>
      <w:r>
        <w:rPr>
          <w:rFonts w:ascii="Arial" w:hAnsi="Arial" w:cs="Arial"/>
        </w:rPr>
        <w:t>Exas</w:t>
      </w:r>
      <w:proofErr w:type="spellEnd"/>
      <w:r>
        <w:rPr>
          <w:rFonts w:ascii="Arial" w:hAnsi="Arial" w:cs="Arial"/>
        </w:rPr>
        <w:t>, com a convicção de que receberá o habitual apoio.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ressaltar que pedimos </w:t>
      </w:r>
      <w:r>
        <w:rPr>
          <w:rFonts w:ascii="Arial" w:hAnsi="Arial" w:cs="Arial"/>
          <w:b/>
        </w:rPr>
        <w:t>urgência urgentíssima</w:t>
      </w:r>
      <w:r>
        <w:rPr>
          <w:rFonts w:ascii="Arial" w:hAnsi="Arial" w:cs="Arial"/>
        </w:rPr>
        <w:t xml:space="preserve"> na aprovação desta proposta, haja vista o seu grau de importância e tratar-se emenda Constitucional recente.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C82B14" w:rsidRDefault="00C82B14" w:rsidP="00C82B14">
      <w:pPr>
        <w:jc w:val="both"/>
        <w:rPr>
          <w:rFonts w:ascii="Arial" w:hAnsi="Arial" w:cs="Arial"/>
          <w:b/>
        </w:rPr>
      </w:pPr>
    </w:p>
    <w:p w:rsidR="00C82B14" w:rsidRDefault="00C82B14" w:rsidP="00C82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ROBISON APARECIDO PAZETTO</w:t>
      </w:r>
    </w:p>
    <w:p w:rsidR="00C82B14" w:rsidRDefault="00C82B14" w:rsidP="00C82B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C82B14" w:rsidRDefault="00C82B14" w:rsidP="00C82B14">
      <w:pPr>
        <w:jc w:val="both"/>
        <w:rPr>
          <w:rFonts w:ascii="Arial" w:hAnsi="Arial" w:cs="Arial"/>
        </w:rPr>
      </w:pPr>
    </w:p>
    <w:p w:rsidR="00732EAD" w:rsidRDefault="00732EAD"/>
    <w:sectPr w:rsidR="00732EAD" w:rsidSect="00C82B14">
      <w:pgSz w:w="11907" w:h="16840" w:code="9"/>
      <w:pgMar w:top="1701" w:right="1134" w:bottom="141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14"/>
    <w:rsid w:val="00732EAD"/>
    <w:rsid w:val="00C8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82B14"/>
    <w:pPr>
      <w:keepNext/>
      <w:jc w:val="center"/>
      <w:outlineLvl w:val="1"/>
    </w:pPr>
    <w:rPr>
      <w:rFonts w:ascii="Arial" w:hAnsi="Arial" w:cs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82B14"/>
    <w:rPr>
      <w:rFonts w:ascii="Arial" w:eastAsia="Times New Roman" w:hAnsi="Arial" w:cs="Arial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C82B14"/>
    <w:pPr>
      <w:jc w:val="center"/>
    </w:pPr>
    <w:rPr>
      <w:rFonts w:ascii="Arial" w:hAnsi="Arial" w:cs="Arial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C82B14"/>
    <w:rPr>
      <w:rFonts w:ascii="Arial" w:eastAsia="Times New Roman" w:hAnsi="Arial" w:cs="Arial"/>
      <w:b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82B14"/>
    <w:pPr>
      <w:keepNext/>
      <w:jc w:val="center"/>
      <w:outlineLvl w:val="1"/>
    </w:pPr>
    <w:rPr>
      <w:rFonts w:ascii="Arial" w:hAnsi="Arial" w:cs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82B14"/>
    <w:rPr>
      <w:rFonts w:ascii="Arial" w:eastAsia="Times New Roman" w:hAnsi="Arial" w:cs="Arial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C82B14"/>
    <w:pPr>
      <w:jc w:val="center"/>
    </w:pPr>
    <w:rPr>
      <w:rFonts w:ascii="Arial" w:hAnsi="Arial" w:cs="Arial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C82B14"/>
    <w:rPr>
      <w:rFonts w:ascii="Arial" w:eastAsia="Times New Roman" w:hAnsi="Arial" w:cs="Arial"/>
      <w:b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Planilha_do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1627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2021-06-28T15:30:00Z</dcterms:created>
  <dcterms:modified xsi:type="dcterms:W3CDTF">2021-06-28T15:33:00Z</dcterms:modified>
</cp:coreProperties>
</file>